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AB496" w14:textId="49406DDE" w:rsidR="00F66ABC" w:rsidRPr="00967CFB" w:rsidRDefault="00F66ABC" w:rsidP="00F66ABC">
      <w:pPr>
        <w:tabs>
          <w:tab w:val="center" w:pos="4536"/>
          <w:tab w:val="right" w:pos="7938"/>
          <w:tab w:val="right" w:pos="9639"/>
        </w:tabs>
        <w:ind w:right="2"/>
        <w:rPr>
          <w:rFonts w:ascii="Arial" w:hAnsi="Arial" w:cs="Arial"/>
          <w:b/>
          <w:bCs/>
          <w:sz w:val="28"/>
          <w:lang w:eastAsia="ko-KR"/>
        </w:rPr>
      </w:pPr>
      <w:bookmarkStart w:id="0" w:name="_Hlk145670493"/>
      <w:bookmarkStart w:id="1" w:name="_Hlk117841894"/>
      <w:bookmarkStart w:id="2" w:name="_Ref462675860"/>
      <w:bookmarkStart w:id="3" w:name="_Ref465963108"/>
      <w:r w:rsidRPr="00A80D3B">
        <w:rPr>
          <w:rFonts w:ascii="Arial" w:hAnsi="Arial" w:cs="Arial"/>
          <w:b/>
          <w:bCs/>
          <w:sz w:val="28"/>
        </w:rPr>
        <w:t>3GPP TSG RAN WG1 #1</w:t>
      </w:r>
      <w:r w:rsidR="00587983">
        <w:rPr>
          <w:rFonts w:ascii="Arial" w:hAnsi="Arial" w:cs="Arial"/>
          <w:b/>
          <w:bCs/>
          <w:sz w:val="28"/>
        </w:rPr>
        <w:t>2</w:t>
      </w:r>
      <w:r w:rsidR="00A46509">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003F74F1">
        <w:rPr>
          <w:rFonts w:ascii="Arial" w:hAnsi="Arial" w:cs="Arial"/>
          <w:b/>
          <w:bCs/>
          <w:sz w:val="28"/>
        </w:rPr>
        <w:t xml:space="preserve">      </w:t>
      </w:r>
      <w:r w:rsidRPr="00A80D3B">
        <w:rPr>
          <w:rFonts w:ascii="Arial" w:hAnsi="Arial" w:cs="Arial"/>
          <w:b/>
          <w:bCs/>
          <w:sz w:val="28"/>
        </w:rPr>
        <w:tab/>
      </w:r>
      <w:r w:rsidRPr="008E5D28">
        <w:rPr>
          <w:rFonts w:ascii="Arial" w:hAnsi="Arial" w:cs="Arial"/>
          <w:b/>
          <w:bCs/>
          <w:sz w:val="28"/>
        </w:rPr>
        <w:t>R1-</w:t>
      </w:r>
      <w:r w:rsidR="003F74F1" w:rsidRPr="003F74F1">
        <w:rPr>
          <w:rFonts w:ascii="Arial" w:hAnsi="Arial" w:cs="Arial"/>
          <w:b/>
          <w:bCs/>
          <w:sz w:val="28"/>
        </w:rPr>
        <w:t>2</w:t>
      </w:r>
      <w:r w:rsidR="00587983">
        <w:rPr>
          <w:rFonts w:ascii="Arial" w:hAnsi="Arial" w:cs="Arial"/>
          <w:b/>
          <w:bCs/>
          <w:sz w:val="28"/>
        </w:rPr>
        <w:t>5</w:t>
      </w:r>
      <w:r w:rsidR="00C9716B" w:rsidRPr="00C9716B">
        <w:rPr>
          <w:rFonts w:ascii="Arial" w:hAnsi="Arial" w:cs="Arial"/>
          <w:b/>
          <w:bCs/>
          <w:sz w:val="28"/>
          <w:lang w:eastAsia="ko-KR"/>
        </w:rPr>
        <w:t>04153</w:t>
      </w:r>
    </w:p>
    <w:p w14:paraId="0A4EAF1E" w14:textId="2CCAAD52" w:rsidR="00F66ABC" w:rsidRPr="009513AC" w:rsidRDefault="00A46509" w:rsidP="00F66ABC">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맑은 고딕" w:hAnsi="맑은 고딕" w:cs="맑은 고딕"/>
          <w:b/>
          <w:bCs/>
          <w:sz w:val="28"/>
          <w:lang w:eastAsia="ko-KR"/>
        </w:rPr>
        <w:t xml:space="preserve">May </w:t>
      </w:r>
      <w:r>
        <w:rPr>
          <w:rFonts w:ascii="Arial" w:eastAsia="MS Mincho" w:hAnsi="Arial" w:cs="Arial"/>
          <w:b/>
          <w:bCs/>
          <w:sz w:val="28"/>
          <w:lang w:eastAsia="ja-JP"/>
        </w:rPr>
        <w:t>19</w:t>
      </w:r>
      <w:r>
        <w:rPr>
          <w:rFonts w:ascii="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14:paraId="07A0D676" w14:textId="77777777" w:rsidR="00F66ABC" w:rsidRPr="00F04343" w:rsidRDefault="00F66ABC" w:rsidP="00F66ABC"/>
    <w:bookmarkEnd w:id="1"/>
    <w:p w14:paraId="0DCC4F68" w14:textId="623EF87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w:t>
      </w:r>
      <w:r w:rsidR="00F66ABC">
        <w:rPr>
          <w:rFonts w:ascii="Arial" w:hAnsi="Arial"/>
          <w:sz w:val="24"/>
        </w:rPr>
        <w:t>1</w:t>
      </w:r>
      <w:r w:rsidR="00A421EA">
        <w:rPr>
          <w:rFonts w:ascii="Arial" w:hAnsi="Arial"/>
          <w:sz w:val="24"/>
        </w:rPr>
        <w:t>2</w:t>
      </w:r>
      <w:r w:rsidR="00AC02D7">
        <w:rPr>
          <w:rFonts w:ascii="Arial" w:hAnsi="Arial" w:hint="eastAsia"/>
          <w:sz w:val="24"/>
          <w:lang w:eastAsia="ko-KR"/>
        </w:rPr>
        <w:t>.</w:t>
      </w:r>
      <w:r w:rsidR="002635C0">
        <w:rPr>
          <w:rFonts w:ascii="Arial" w:hAnsi="Arial"/>
          <w:sz w:val="24"/>
          <w:lang w:eastAsia="ko-KR"/>
        </w:rPr>
        <w:t>2</w:t>
      </w:r>
    </w:p>
    <w:p w14:paraId="720F03F9" w14:textId="4B0FD536"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E533F7">
        <w:rPr>
          <w:rFonts w:ascii="Arial" w:hAnsi="Arial"/>
          <w:sz w:val="24"/>
        </w:rPr>
        <w:t>ETRI</w:t>
      </w:r>
    </w:p>
    <w:p w14:paraId="45185454" w14:textId="56C1BF81"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635C0" w:rsidRPr="002635C0">
        <w:rPr>
          <w:rFonts w:ascii="Arial" w:hAnsi="Arial" w:cs="Arial"/>
          <w:color w:val="000000" w:themeColor="text1"/>
          <w:sz w:val="24"/>
        </w:rPr>
        <w:t xml:space="preserve">Discussion on </w:t>
      </w:r>
      <w:r w:rsidR="002635C0">
        <w:rPr>
          <w:rFonts w:ascii="Arial" w:hAnsi="Arial" w:cs="Arial"/>
          <w:color w:val="000000" w:themeColor="text1"/>
          <w:sz w:val="24"/>
        </w:rPr>
        <w:t>l</w:t>
      </w:r>
      <w:r w:rsidR="002635C0" w:rsidRPr="002635C0">
        <w:rPr>
          <w:rFonts w:ascii="Arial" w:hAnsi="Arial" w:cs="Arial"/>
          <w:color w:val="000000" w:themeColor="text1"/>
          <w:sz w:val="24"/>
        </w:rPr>
        <w:t>ow band carrier aggregation via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D16897" w:rsidRDefault="00FD6A3D" w:rsidP="000A3CBA">
      <w:pPr>
        <w:pStyle w:val="1"/>
        <w:jc w:val="both"/>
        <w:rPr>
          <w:sz w:val="28"/>
          <w:szCs w:val="24"/>
        </w:rPr>
      </w:pPr>
      <w:r w:rsidRPr="00D16897">
        <w:rPr>
          <w:sz w:val="28"/>
          <w:szCs w:val="24"/>
        </w:rPr>
        <w:t>Introduction</w:t>
      </w:r>
      <w:bookmarkEnd w:id="2"/>
      <w:bookmarkEnd w:id="3"/>
    </w:p>
    <w:p w14:paraId="72787ED3" w14:textId="11A229FE" w:rsidR="00CE1F05" w:rsidRDefault="001132E4" w:rsidP="00CE1F05">
      <w:pPr>
        <w:widowControl w:val="0"/>
        <w:spacing w:after="0" w:line="360" w:lineRule="auto"/>
        <w:jc w:val="both"/>
        <w:rPr>
          <w:sz w:val="22"/>
          <w:szCs w:val="22"/>
        </w:rPr>
      </w:pPr>
      <w:bookmarkStart w:id="4" w:name="_Ref473802466"/>
      <w:bookmarkStart w:id="5" w:name="_Ref462669569"/>
      <w:r w:rsidRPr="001132E4">
        <w:rPr>
          <w:sz w:val="22"/>
          <w:szCs w:val="22"/>
        </w:rPr>
        <w:t>In RAN1#120bis, the following agreements were reached regarding the semi-static configuration, including the switching pattern, switching gap, and other related topics [1]</w:t>
      </w:r>
      <w:r w:rsidR="00765825" w:rsidRPr="00081A56">
        <w:rPr>
          <w:sz w:val="22"/>
          <w:szCs w:val="22"/>
        </w:rPr>
        <w:t>.</w:t>
      </w:r>
    </w:p>
    <w:p w14:paraId="13CC8A1C" w14:textId="77777777" w:rsidR="00CE1F05" w:rsidRPr="00137E22" w:rsidRDefault="00CE1F05" w:rsidP="00CE1F05">
      <w:pPr>
        <w:widowControl w:val="0"/>
        <w:spacing w:after="0" w:line="360" w:lineRule="auto"/>
        <w:jc w:val="both"/>
        <w:rPr>
          <w:rFonts w:eastAsiaTheme="minorEastAsia"/>
          <w:sz w:val="22"/>
          <w:szCs w:val="22"/>
        </w:rPr>
      </w:pPr>
    </w:p>
    <w:tbl>
      <w:tblPr>
        <w:tblStyle w:val="ad"/>
        <w:tblW w:w="0" w:type="auto"/>
        <w:tblLook w:val="04A0" w:firstRow="1" w:lastRow="0" w:firstColumn="1" w:lastColumn="0" w:noHBand="0" w:noVBand="1"/>
      </w:tblPr>
      <w:tblGrid>
        <w:gridCol w:w="9962"/>
      </w:tblGrid>
      <w:tr w:rsidR="00CE1F05" w:rsidRPr="00361853" w14:paraId="4B74AD28" w14:textId="77777777" w:rsidTr="00FB5A5B">
        <w:tc>
          <w:tcPr>
            <w:tcW w:w="9962" w:type="dxa"/>
          </w:tcPr>
          <w:p w14:paraId="31BF918E" w14:textId="77777777" w:rsidR="008B7B50" w:rsidRPr="00B550CC" w:rsidRDefault="008B7B50" w:rsidP="00B550CC">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B550CC">
              <w:rPr>
                <w:rFonts w:ascii="Times New Roman" w:eastAsia="SimSun" w:hAnsi="Times New Roman"/>
                <w:sz w:val="22"/>
                <w:szCs w:val="22"/>
                <w:lang w:eastAsia="en-US"/>
              </w:rPr>
              <w:t>For Rel-19 low NR band carrier aggregation via switching, support only semi-static configuration of switching pattern to a UE based on UE-specific RRC configuration between the following two cases,</w:t>
            </w:r>
          </w:p>
          <w:p w14:paraId="1D3FB27B" w14:textId="77777777" w:rsidR="008B7B50" w:rsidRPr="00B550CC" w:rsidRDefault="008B7B50" w:rsidP="00B550CC">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B550CC">
              <w:rPr>
                <w:rFonts w:ascii="Times New Roman" w:eastAsia="Times New Roman" w:hAnsi="Times New Roman"/>
                <w:sz w:val="22"/>
                <w:szCs w:val="22"/>
              </w:rPr>
              <w:t>Case 1: Tx/Rx on FDD carrier 1 and no Rx on SDL carrier 2</w:t>
            </w:r>
          </w:p>
          <w:p w14:paraId="2FAECD82" w14:textId="77777777" w:rsidR="008B7B50" w:rsidRPr="00B550CC" w:rsidRDefault="008B7B50" w:rsidP="00B550CC">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B550CC">
              <w:rPr>
                <w:rFonts w:ascii="Times New Roman" w:eastAsia="Times New Roman" w:hAnsi="Times New Roman"/>
                <w:sz w:val="22"/>
                <w:szCs w:val="22"/>
              </w:rPr>
              <w:t>Case 2: Rx on SDL carrier 2 and no Tx/Rx on FDD carrier 1</w:t>
            </w:r>
          </w:p>
          <w:p w14:paraId="600ED03D" w14:textId="77777777" w:rsidR="008B7B50" w:rsidRPr="00B550CC" w:rsidRDefault="008B7B50" w:rsidP="00B550CC">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B550CC">
              <w:rPr>
                <w:rFonts w:ascii="Times New Roman" w:eastAsia="SimSun" w:hAnsi="Times New Roman"/>
                <w:sz w:val="22"/>
                <w:szCs w:val="22"/>
                <w:lang w:eastAsia="en-US"/>
              </w:rPr>
              <w:t xml:space="preserve">FDD carrier 1 is </w:t>
            </w:r>
            <w:proofErr w:type="spellStart"/>
            <w:r w:rsidRPr="00B550CC">
              <w:rPr>
                <w:rFonts w:ascii="Times New Roman" w:eastAsia="SimSun" w:hAnsi="Times New Roman"/>
                <w:sz w:val="22"/>
                <w:szCs w:val="22"/>
                <w:lang w:eastAsia="en-US"/>
              </w:rPr>
              <w:t>PCell</w:t>
            </w:r>
            <w:proofErr w:type="spellEnd"/>
            <w:r w:rsidRPr="00B550CC">
              <w:rPr>
                <w:rFonts w:ascii="Times New Roman" w:eastAsia="SimSun" w:hAnsi="Times New Roman"/>
                <w:sz w:val="22"/>
                <w:szCs w:val="22"/>
                <w:lang w:eastAsia="en-US"/>
              </w:rPr>
              <w:t xml:space="preserve"> and SDL carrier 2 is </w:t>
            </w:r>
            <w:proofErr w:type="spellStart"/>
            <w:r w:rsidRPr="00B550CC">
              <w:rPr>
                <w:rFonts w:ascii="Times New Roman" w:eastAsia="SimSun" w:hAnsi="Times New Roman"/>
                <w:sz w:val="22"/>
                <w:szCs w:val="22"/>
                <w:lang w:eastAsia="en-US"/>
              </w:rPr>
              <w:t>SCell</w:t>
            </w:r>
            <w:proofErr w:type="spellEnd"/>
            <w:r w:rsidRPr="00B550CC">
              <w:rPr>
                <w:rFonts w:ascii="Times New Roman" w:eastAsia="SimSun" w:hAnsi="Times New Roman"/>
                <w:sz w:val="22"/>
                <w:szCs w:val="22"/>
                <w:lang w:eastAsia="en-US"/>
              </w:rPr>
              <w:t>.</w:t>
            </w:r>
          </w:p>
          <w:p w14:paraId="33579019" w14:textId="77777777" w:rsidR="008B7B50" w:rsidRPr="00B550CC" w:rsidRDefault="008B7B50" w:rsidP="00B550CC">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B550CC">
              <w:rPr>
                <w:rFonts w:ascii="Times New Roman" w:eastAsia="SimSun" w:hAnsi="Times New Roman"/>
                <w:sz w:val="22"/>
                <w:szCs w:val="22"/>
                <w:lang w:eastAsia="en-US"/>
              </w:rPr>
              <w:t>SCS 15KHz on both carriers.</w:t>
            </w:r>
          </w:p>
          <w:p w14:paraId="4446F77A" w14:textId="77777777" w:rsidR="009151DE" w:rsidRDefault="009151DE" w:rsidP="009151DE">
            <w:pPr>
              <w:overflowPunct/>
              <w:autoSpaceDE/>
              <w:autoSpaceDN/>
              <w:adjustRightInd/>
              <w:snapToGrid w:val="0"/>
              <w:spacing w:before="60" w:after="0"/>
              <w:textAlignment w:val="auto"/>
              <w:rPr>
                <w:rFonts w:ascii="Times New Roman" w:eastAsia="SimSun" w:hAnsi="Times New Roman"/>
                <w:sz w:val="22"/>
                <w:szCs w:val="22"/>
                <w:lang w:eastAsia="en-US"/>
              </w:rPr>
            </w:pPr>
          </w:p>
          <w:p w14:paraId="6EBCEB4D" w14:textId="77777777" w:rsidR="00B550CC" w:rsidRPr="00B550CC" w:rsidRDefault="00B550CC" w:rsidP="00B550CC">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B550CC">
              <w:rPr>
                <w:rFonts w:ascii="Times New Roman" w:eastAsia="SimSun" w:hAnsi="Times New Roman"/>
                <w:sz w:val="22"/>
                <w:szCs w:val="22"/>
                <w:lang w:eastAsia="en-US"/>
              </w:rPr>
              <w:t>For RRC configuration of semi-static switching pattern in Rel-19 low NR band carrier aggregation via switching, it is not expected that the same slot (1ms) contains both symbol(s) configured as FDD carrier and symbol(s) configured as SDL carrier.</w:t>
            </w:r>
          </w:p>
          <w:p w14:paraId="457C31DE" w14:textId="77777777" w:rsidR="009151DE" w:rsidRPr="00B550CC" w:rsidRDefault="009151DE" w:rsidP="009151DE">
            <w:pPr>
              <w:overflowPunct/>
              <w:autoSpaceDE/>
              <w:autoSpaceDN/>
              <w:adjustRightInd/>
              <w:snapToGrid w:val="0"/>
              <w:spacing w:after="0"/>
              <w:textAlignment w:val="auto"/>
              <w:rPr>
                <w:rFonts w:ascii="Times New Roman" w:hAnsi="Times New Roman"/>
              </w:rPr>
            </w:pPr>
          </w:p>
          <w:p w14:paraId="2E520151" w14:textId="232230A1" w:rsidR="00D33648" w:rsidRDefault="00D33648" w:rsidP="00D33648">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D33648">
              <w:rPr>
                <w:rFonts w:ascii="Times New Roman" w:eastAsia="SimSun" w:hAnsi="Times New Roman"/>
                <w:sz w:val="22"/>
                <w:szCs w:val="22"/>
                <w:lang w:eastAsia="en-US"/>
              </w:rPr>
              <w:t xml:space="preserve">For Rel-19 low NR band carrier aggregation via switching, the semi-static switching pattern and corresponding switching gap are based on the downlink timing (DL reception time at UE side) of </w:t>
            </w:r>
            <w:proofErr w:type="spellStart"/>
            <w:r w:rsidRPr="00D33648">
              <w:rPr>
                <w:rFonts w:ascii="Times New Roman" w:eastAsia="SimSun" w:hAnsi="Times New Roman"/>
                <w:sz w:val="22"/>
                <w:szCs w:val="22"/>
                <w:lang w:eastAsia="en-US"/>
              </w:rPr>
              <w:t>Pcell</w:t>
            </w:r>
            <w:proofErr w:type="spellEnd"/>
            <w:r w:rsidRPr="00D33648">
              <w:rPr>
                <w:rFonts w:ascii="Times New Roman" w:eastAsia="SimSun" w:hAnsi="Times New Roman"/>
                <w:sz w:val="22"/>
                <w:szCs w:val="22"/>
                <w:lang w:eastAsia="en-US"/>
              </w:rPr>
              <w:t>.</w:t>
            </w:r>
          </w:p>
          <w:p w14:paraId="16CF56FE" w14:textId="77777777" w:rsidR="00D33648" w:rsidRDefault="00D33648" w:rsidP="00D33648">
            <w:pPr>
              <w:pStyle w:val="af3"/>
              <w:rPr>
                <w:rFonts w:ascii="Times New Roman" w:eastAsia="SimSun" w:hAnsi="Times New Roman"/>
                <w:lang w:eastAsia="en-US"/>
              </w:rPr>
            </w:pPr>
          </w:p>
          <w:p w14:paraId="11D83938" w14:textId="77777777" w:rsidR="00D33648" w:rsidRPr="00D33648" w:rsidRDefault="00D33648" w:rsidP="00D33648">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D33648">
              <w:rPr>
                <w:rFonts w:ascii="Times New Roman" w:eastAsia="SimSun" w:hAnsi="Times New Roman"/>
                <w:sz w:val="22"/>
                <w:szCs w:val="22"/>
                <w:lang w:eastAsia="en-US"/>
              </w:rPr>
              <w:t>For RRC configuration of semi-static switching pattern in Rel-19 low NR band carrier aggregation via switching, the time unit (resolution) of the semi-static switching pattern configuration is slot (1ms for 15kHz SCS).</w:t>
            </w:r>
          </w:p>
          <w:p w14:paraId="71B062E8" w14:textId="2B4919BA" w:rsidR="00D33648" w:rsidRDefault="00D33648" w:rsidP="00D33648">
            <w:pPr>
              <w:overflowPunct/>
              <w:autoSpaceDE/>
              <w:autoSpaceDN/>
              <w:adjustRightInd/>
              <w:snapToGrid w:val="0"/>
              <w:spacing w:before="60" w:after="0"/>
              <w:textAlignment w:val="auto"/>
              <w:rPr>
                <w:rFonts w:ascii="Times New Roman" w:eastAsia="SimSun" w:hAnsi="Times New Roman"/>
                <w:sz w:val="22"/>
                <w:szCs w:val="22"/>
                <w:lang w:eastAsia="en-US"/>
              </w:rPr>
            </w:pPr>
          </w:p>
          <w:p w14:paraId="35C199ED" w14:textId="77777777" w:rsidR="00D33648" w:rsidRPr="00D33648" w:rsidRDefault="00D33648" w:rsidP="00D33648">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D33648">
              <w:rPr>
                <w:rFonts w:ascii="Times New Roman" w:eastAsia="SimSun" w:hAnsi="Times New Roman"/>
                <w:sz w:val="22"/>
                <w:szCs w:val="22"/>
                <w:lang w:eastAsia="en-US"/>
              </w:rPr>
              <w:t>For RRC configuration of semi-static switching pattern in Rel-19 low NR band carrier aggregation via switching, support bitmap design</w:t>
            </w:r>
          </w:p>
          <w:p w14:paraId="5F3AD9E9" w14:textId="77777777" w:rsidR="00D33648" w:rsidRPr="00D33648" w:rsidRDefault="00D33648" w:rsidP="00D33648">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D33648">
              <w:rPr>
                <w:rFonts w:ascii="Times New Roman" w:eastAsia="Times New Roman" w:hAnsi="Times New Roman"/>
                <w:sz w:val="22"/>
                <w:szCs w:val="22"/>
              </w:rPr>
              <w:t xml:space="preserve">NW configures a periodicity, denoted as </w:t>
            </w:r>
            <m:oMath>
              <m:r>
                <m:rPr>
                  <m:sty m:val="p"/>
                </m:rPr>
                <w:rPr>
                  <w:rFonts w:ascii="Cambria Math" w:eastAsia="Times New Roman" w:hAnsi="Cambria Math"/>
                  <w:sz w:val="22"/>
                  <w:szCs w:val="22"/>
                </w:rPr>
                <m:t>P</m:t>
              </m:r>
            </m:oMath>
            <w:r w:rsidRPr="00D33648">
              <w:rPr>
                <w:rFonts w:ascii="Times New Roman" w:eastAsia="Times New Roman" w:hAnsi="Times New Roman"/>
                <w:sz w:val="22"/>
                <w:szCs w:val="22"/>
              </w:rPr>
              <w:t xml:space="preserve"> slots, and a bitmap of P bits. Each bit in the bitmap indicates which carrier is configured for the corresponding slot, ‘0’ indicates FDD carrier 1, and ‘1’ indicates SDL carrier 2.</w:t>
            </w:r>
          </w:p>
          <w:p w14:paraId="6FC69E0D" w14:textId="77777777" w:rsidR="00D33648" w:rsidRPr="00D33648" w:rsidRDefault="00D33648" w:rsidP="00D33648">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D33648">
              <w:rPr>
                <w:rFonts w:ascii="Times New Roman" w:eastAsia="Times New Roman" w:hAnsi="Times New Roman"/>
                <w:sz w:val="22"/>
                <w:szCs w:val="22"/>
              </w:rPr>
              <w:t xml:space="preserve">The pattern starts from the beginning of SFN 0 of </w:t>
            </w:r>
            <w:proofErr w:type="spellStart"/>
            <w:r w:rsidRPr="00D33648">
              <w:rPr>
                <w:rFonts w:ascii="Times New Roman" w:eastAsia="Times New Roman" w:hAnsi="Times New Roman"/>
                <w:sz w:val="22"/>
                <w:szCs w:val="22"/>
              </w:rPr>
              <w:t>PCell</w:t>
            </w:r>
            <w:proofErr w:type="spellEnd"/>
            <w:r w:rsidRPr="00D33648">
              <w:rPr>
                <w:rFonts w:ascii="Times New Roman" w:eastAsia="Times New Roman" w:hAnsi="Times New Roman"/>
                <w:sz w:val="22"/>
                <w:szCs w:val="22"/>
              </w:rPr>
              <w:t>.</w:t>
            </w:r>
          </w:p>
          <w:p w14:paraId="31AA53D5" w14:textId="77777777" w:rsidR="00D33648" w:rsidRPr="00D33648" w:rsidRDefault="00D33648" w:rsidP="00D33648">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D33648">
              <w:rPr>
                <w:rFonts w:ascii="Times New Roman" w:eastAsia="SimSun" w:hAnsi="Times New Roman"/>
                <w:sz w:val="22"/>
                <w:szCs w:val="22"/>
                <w:lang w:eastAsia="en-US"/>
              </w:rPr>
              <w:t>Restriction of maximum X switch(es) within Y slot(s).</w:t>
            </w:r>
          </w:p>
          <w:p w14:paraId="6E5ED6A3" w14:textId="77777777" w:rsidR="00D33648" w:rsidRPr="00D33648" w:rsidRDefault="00D33648" w:rsidP="00D33648">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D33648">
              <w:rPr>
                <w:rFonts w:ascii="Times New Roman" w:eastAsia="Times New Roman" w:hAnsi="Times New Roman"/>
                <w:sz w:val="22"/>
                <w:szCs w:val="22"/>
              </w:rPr>
              <w:lastRenderedPageBreak/>
              <w:t>FFS: detailed value and relation of X and Y.</w:t>
            </w:r>
          </w:p>
          <w:p w14:paraId="475D1743" w14:textId="77777777" w:rsidR="00D33648" w:rsidRPr="00D33648" w:rsidRDefault="00D33648" w:rsidP="00D33648">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D33648">
              <w:rPr>
                <w:rFonts w:ascii="Times New Roman" w:eastAsia="SimSun" w:hAnsi="Times New Roman"/>
                <w:sz w:val="22"/>
                <w:szCs w:val="22"/>
                <w:lang w:eastAsia="en-US"/>
              </w:rPr>
              <w:t>FFS: other restriction.</w:t>
            </w:r>
          </w:p>
          <w:p w14:paraId="489C853C" w14:textId="37B03287" w:rsidR="00D33648" w:rsidRDefault="00D33648" w:rsidP="00D33648">
            <w:pPr>
              <w:overflowPunct/>
              <w:autoSpaceDE/>
              <w:autoSpaceDN/>
              <w:adjustRightInd/>
              <w:snapToGrid w:val="0"/>
              <w:spacing w:before="60" w:after="0"/>
              <w:textAlignment w:val="auto"/>
              <w:rPr>
                <w:rFonts w:ascii="Times New Roman" w:eastAsia="SimSun" w:hAnsi="Times New Roman"/>
                <w:sz w:val="22"/>
                <w:szCs w:val="22"/>
                <w:lang w:eastAsia="en-US"/>
              </w:rPr>
            </w:pPr>
          </w:p>
          <w:p w14:paraId="642B8E2E" w14:textId="77777777" w:rsidR="00D33648" w:rsidRPr="00D33648" w:rsidRDefault="00D33648" w:rsidP="00D33648">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D33648">
              <w:rPr>
                <w:rFonts w:ascii="Times New Roman" w:eastAsia="SimSun" w:hAnsi="Times New Roman"/>
                <w:sz w:val="22"/>
                <w:szCs w:val="22"/>
                <w:lang w:eastAsia="en-US"/>
              </w:rPr>
              <w:t xml:space="preserve">For RRC configuration of semi-static switching pattern in Rel-19 low NR band carrier aggregation via switching, regarding the location of the switching gap, </w:t>
            </w:r>
          </w:p>
          <w:p w14:paraId="75FA53F3" w14:textId="77777777" w:rsidR="00D33648" w:rsidRPr="00D33648" w:rsidRDefault="00D33648" w:rsidP="00D33648">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D33648">
              <w:rPr>
                <w:rFonts w:ascii="Times New Roman" w:eastAsia="Times New Roman" w:hAnsi="Times New Roman"/>
                <w:sz w:val="22"/>
                <w:szCs w:val="22"/>
              </w:rPr>
              <w:t>For switching from SDL carrier to FDD carrier, the switching gap is always assumed at the “switch from” carrier, i.e., SDL carrier.</w:t>
            </w:r>
          </w:p>
          <w:p w14:paraId="1F7377EE" w14:textId="77777777" w:rsidR="00D33648" w:rsidRPr="00D33648" w:rsidRDefault="00D33648" w:rsidP="00D33648">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D33648">
              <w:rPr>
                <w:rFonts w:ascii="Times New Roman" w:eastAsia="Times New Roman" w:hAnsi="Times New Roman"/>
                <w:sz w:val="22"/>
                <w:szCs w:val="22"/>
              </w:rPr>
              <w:t>For switching from FDD carrier to SDL carrier, down-select one of the following solutions:</w:t>
            </w:r>
          </w:p>
          <w:p w14:paraId="2BCCB99B" w14:textId="77777777" w:rsidR="00D33648" w:rsidRPr="00D33648" w:rsidRDefault="00D33648" w:rsidP="00D33648">
            <w:pPr>
              <w:pStyle w:val="af3"/>
              <w:numPr>
                <w:ilvl w:val="2"/>
                <w:numId w:val="17"/>
              </w:numPr>
              <w:spacing w:before="60"/>
              <w:contextualSpacing/>
              <w:rPr>
                <w:rFonts w:ascii="Times New Roman" w:eastAsia="MS Mincho" w:hAnsi="Times New Roman"/>
                <w:bCs/>
                <w:szCs w:val="20"/>
                <w:lang w:eastAsia="ja-JP"/>
              </w:rPr>
            </w:pPr>
            <w:r w:rsidRPr="00D33648">
              <w:rPr>
                <w:rFonts w:ascii="Times New Roman" w:eastAsia="MS Mincho" w:hAnsi="Times New Roman"/>
                <w:bCs/>
                <w:szCs w:val="20"/>
                <w:lang w:eastAsia="ja-JP"/>
              </w:rPr>
              <w:t>Alt 1: Switching gap is always assumed at the “switch from” carrier, i.e., FDD carrier.</w:t>
            </w:r>
          </w:p>
          <w:p w14:paraId="67F94879" w14:textId="77777777" w:rsidR="00D33648" w:rsidRPr="00D33648" w:rsidRDefault="00D33648" w:rsidP="00D33648">
            <w:pPr>
              <w:pStyle w:val="af3"/>
              <w:numPr>
                <w:ilvl w:val="2"/>
                <w:numId w:val="17"/>
              </w:numPr>
              <w:spacing w:before="60"/>
              <w:contextualSpacing/>
              <w:rPr>
                <w:rFonts w:ascii="Times New Roman" w:eastAsia="MS Mincho" w:hAnsi="Times New Roman"/>
                <w:bCs/>
                <w:szCs w:val="20"/>
                <w:lang w:eastAsia="ja-JP"/>
              </w:rPr>
            </w:pPr>
            <w:r w:rsidRPr="00D33648">
              <w:rPr>
                <w:rFonts w:ascii="Times New Roman" w:eastAsia="MS Mincho" w:hAnsi="Times New Roman"/>
                <w:bCs/>
                <w:szCs w:val="20"/>
                <w:lang w:eastAsia="ja-JP"/>
              </w:rPr>
              <w:t>Alt 2: NW configures whether the switching gap is at the FDD carrier or SDL carrier.</w:t>
            </w:r>
          </w:p>
          <w:p w14:paraId="615E29A4" w14:textId="77777777" w:rsidR="00D33648" w:rsidRPr="00D33648" w:rsidRDefault="00D33648" w:rsidP="00D33648">
            <w:pPr>
              <w:pStyle w:val="af3"/>
              <w:numPr>
                <w:ilvl w:val="2"/>
                <w:numId w:val="17"/>
              </w:numPr>
              <w:spacing w:before="60"/>
              <w:contextualSpacing/>
              <w:rPr>
                <w:rFonts w:ascii="Times New Roman" w:eastAsia="MS Mincho" w:hAnsi="Times New Roman"/>
                <w:bCs/>
                <w:szCs w:val="20"/>
                <w:lang w:eastAsia="ja-JP"/>
              </w:rPr>
            </w:pPr>
            <w:r w:rsidRPr="00D33648">
              <w:rPr>
                <w:rFonts w:ascii="Times New Roman" w:eastAsia="MS Mincho" w:hAnsi="Times New Roman"/>
                <w:bCs/>
                <w:szCs w:val="20"/>
                <w:lang w:eastAsia="ja-JP"/>
              </w:rPr>
              <w:t>Alt 3: Switching gap is always assumed at the SDL carrier.</w:t>
            </w:r>
          </w:p>
          <w:p w14:paraId="7D8F35D0" w14:textId="7A10656B" w:rsidR="00D33648" w:rsidRDefault="00D33648" w:rsidP="00D33648">
            <w:pPr>
              <w:overflowPunct/>
              <w:autoSpaceDE/>
              <w:autoSpaceDN/>
              <w:adjustRightInd/>
              <w:snapToGrid w:val="0"/>
              <w:spacing w:before="60" w:after="0"/>
              <w:textAlignment w:val="auto"/>
              <w:rPr>
                <w:rFonts w:ascii="Times New Roman" w:eastAsia="SimSun" w:hAnsi="Times New Roman"/>
                <w:sz w:val="22"/>
                <w:szCs w:val="22"/>
                <w:lang w:eastAsia="en-US"/>
              </w:rPr>
            </w:pPr>
          </w:p>
          <w:p w14:paraId="13D48785" w14:textId="77777777" w:rsidR="00D33648" w:rsidRPr="00D33648" w:rsidRDefault="00D33648" w:rsidP="00D33648">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D33648">
              <w:rPr>
                <w:rFonts w:ascii="Times New Roman" w:eastAsia="SimSun" w:hAnsi="Times New Roman"/>
                <w:sz w:val="22"/>
                <w:szCs w:val="22"/>
                <w:lang w:eastAsia="en-US"/>
              </w:rPr>
              <w:t>For RRC configuration of semi-static switching pattern in Rel-19 low NR band carrier aggregation via switching, semi-static switching pattern is periodic with periodicity of P slots (</w:t>
            </w:r>
            <w:proofErr w:type="spellStart"/>
            <w:r w:rsidRPr="00D33648">
              <w:rPr>
                <w:rFonts w:ascii="Times New Roman" w:eastAsia="SimSun" w:hAnsi="Times New Roman"/>
                <w:sz w:val="22"/>
                <w:szCs w:val="22"/>
                <w:lang w:eastAsia="en-US"/>
              </w:rPr>
              <w:t>ms</w:t>
            </w:r>
            <w:proofErr w:type="spellEnd"/>
            <w:r w:rsidRPr="00D33648">
              <w:rPr>
                <w:rFonts w:ascii="Times New Roman" w:eastAsia="SimSun" w:hAnsi="Times New Roman"/>
                <w:sz w:val="22"/>
                <w:szCs w:val="22"/>
                <w:lang w:eastAsia="en-US"/>
              </w:rPr>
              <w:t xml:space="preserve">), support P= 40 </w:t>
            </w:r>
            <w:proofErr w:type="spellStart"/>
            <w:r w:rsidRPr="00D33648">
              <w:rPr>
                <w:rFonts w:ascii="Times New Roman" w:eastAsia="SimSun" w:hAnsi="Times New Roman"/>
                <w:sz w:val="22"/>
                <w:szCs w:val="22"/>
                <w:lang w:eastAsia="en-US"/>
              </w:rPr>
              <w:t>ms.</w:t>
            </w:r>
            <w:proofErr w:type="spellEnd"/>
          </w:p>
          <w:p w14:paraId="620FB99F" w14:textId="1050FD6E" w:rsidR="00D33648" w:rsidRDefault="00D33648" w:rsidP="00D33648">
            <w:pPr>
              <w:overflowPunct/>
              <w:autoSpaceDE/>
              <w:autoSpaceDN/>
              <w:adjustRightInd/>
              <w:snapToGrid w:val="0"/>
              <w:spacing w:before="60" w:after="0"/>
              <w:textAlignment w:val="auto"/>
              <w:rPr>
                <w:rFonts w:ascii="Times New Roman" w:eastAsia="SimSun" w:hAnsi="Times New Roman"/>
                <w:sz w:val="22"/>
                <w:szCs w:val="22"/>
                <w:lang w:eastAsia="en-US"/>
              </w:rPr>
            </w:pPr>
          </w:p>
          <w:p w14:paraId="6E939728" w14:textId="77777777" w:rsidR="00D33648" w:rsidRPr="00D33648" w:rsidRDefault="00D33648" w:rsidP="00D33648">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D33648">
              <w:rPr>
                <w:rFonts w:ascii="Times New Roman" w:eastAsia="SimSun" w:hAnsi="Times New Roman"/>
                <w:sz w:val="22"/>
                <w:szCs w:val="22"/>
                <w:lang w:eastAsia="en-US"/>
              </w:rPr>
              <w:t>For RRC configuration of semi-static switching pattern in Rel-19 low NR band carrier aggregation via switching, the duration of the switching gap is RRC configured by the NW,</w:t>
            </w:r>
          </w:p>
          <w:p w14:paraId="2F1AD6AA" w14:textId="77777777" w:rsidR="00D33648" w:rsidRPr="00D33648" w:rsidRDefault="00D33648" w:rsidP="00D33648">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D33648">
              <w:rPr>
                <w:rFonts w:ascii="Times New Roman" w:eastAsia="Times New Roman" w:hAnsi="Times New Roman"/>
                <w:sz w:val="22"/>
                <w:szCs w:val="22"/>
              </w:rPr>
              <w:t>Switching gap duration can be different for FDD to SDL switch, and SDL to FDD switch.</w:t>
            </w:r>
          </w:p>
          <w:p w14:paraId="33A9F86C" w14:textId="77777777" w:rsidR="00D33648" w:rsidRPr="00D33648" w:rsidRDefault="00D33648" w:rsidP="00D33648">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D33648">
              <w:rPr>
                <w:rFonts w:ascii="Times New Roman" w:eastAsia="Times New Roman" w:hAnsi="Times New Roman"/>
                <w:sz w:val="22"/>
                <w:szCs w:val="22"/>
              </w:rPr>
              <w:t>Note: NW ensures that the switching gap is enough to cover at least the switching period as in RAN4 LS (</w:t>
            </w:r>
            <w:hyperlink r:id="rId11" w:history="1">
              <w:r w:rsidRPr="00D33648">
                <w:rPr>
                  <w:rFonts w:eastAsia="Times New Roman"/>
                  <w:sz w:val="22"/>
                  <w:szCs w:val="22"/>
                </w:rPr>
                <w:t>R1-2501702</w:t>
              </w:r>
            </w:hyperlink>
            <w:r w:rsidRPr="00D33648">
              <w:rPr>
                <w:rFonts w:ascii="Times New Roman" w:eastAsia="Times New Roman" w:hAnsi="Times New Roman"/>
                <w:sz w:val="22"/>
                <w:szCs w:val="22"/>
              </w:rPr>
              <w:t>) and UL TA (if needed).</w:t>
            </w:r>
          </w:p>
          <w:p w14:paraId="1AAC17B6" w14:textId="77777777" w:rsidR="00D33648" w:rsidRPr="00D33648" w:rsidRDefault="00D33648" w:rsidP="00D33648">
            <w:pPr>
              <w:pStyle w:val="af3"/>
              <w:numPr>
                <w:ilvl w:val="2"/>
                <w:numId w:val="17"/>
              </w:numPr>
              <w:spacing w:before="60"/>
              <w:contextualSpacing/>
              <w:rPr>
                <w:rFonts w:ascii="Times New Roman" w:eastAsia="MS Mincho" w:hAnsi="Times New Roman"/>
                <w:bCs/>
                <w:szCs w:val="20"/>
                <w:lang w:eastAsia="ja-JP"/>
              </w:rPr>
            </w:pPr>
            <w:r w:rsidRPr="00D33648">
              <w:rPr>
                <w:rFonts w:ascii="Times New Roman" w:eastAsia="MS Mincho" w:hAnsi="Times New Roman"/>
                <w:bCs/>
                <w:szCs w:val="20"/>
                <w:lang w:eastAsia="ja-JP"/>
              </w:rPr>
              <w:t xml:space="preserve">For the UL TA, </w:t>
            </w:r>
          </w:p>
          <w:p w14:paraId="571657BD" w14:textId="77777777" w:rsidR="00D33648" w:rsidRPr="00D33648" w:rsidRDefault="00D33648" w:rsidP="00D33648">
            <w:pPr>
              <w:numPr>
                <w:ilvl w:val="3"/>
                <w:numId w:val="18"/>
              </w:numPr>
              <w:overflowPunct/>
              <w:autoSpaceDE/>
              <w:autoSpaceDN/>
              <w:adjustRightInd/>
              <w:snapToGrid w:val="0"/>
              <w:spacing w:before="60" w:after="0"/>
              <w:textAlignment w:val="auto"/>
              <w:rPr>
                <w:rFonts w:ascii="Times New Roman" w:eastAsia="SimSun" w:hAnsi="Times New Roman"/>
                <w:sz w:val="22"/>
                <w:szCs w:val="22"/>
                <w:lang w:eastAsia="en-US"/>
              </w:rPr>
            </w:pPr>
            <w:r w:rsidRPr="00D33648">
              <w:rPr>
                <w:rFonts w:ascii="Times New Roman" w:eastAsia="SimSun" w:hAnsi="Times New Roman"/>
                <w:sz w:val="22"/>
                <w:szCs w:val="22"/>
                <w:lang w:eastAsia="en-US"/>
              </w:rPr>
              <w:t>Switching gap for SDL to FDD switch ends at the end of slot on SDL.</w:t>
            </w:r>
          </w:p>
          <w:p w14:paraId="0F30D776" w14:textId="77777777" w:rsidR="00D33648" w:rsidRPr="008C5B87" w:rsidRDefault="00D33648" w:rsidP="00D33648">
            <w:pPr>
              <w:numPr>
                <w:ilvl w:val="4"/>
                <w:numId w:val="19"/>
              </w:numPr>
              <w:overflowPunct/>
              <w:autoSpaceDE/>
              <w:autoSpaceDN/>
              <w:adjustRightInd/>
              <w:snapToGrid w:val="0"/>
              <w:spacing w:before="60" w:after="0"/>
              <w:textAlignment w:val="auto"/>
              <w:rPr>
                <w:rFonts w:ascii="Times New Roman" w:hAnsi="Times New Roman"/>
                <w:color w:val="000000"/>
                <w:lang w:eastAsia="x-none"/>
              </w:rPr>
            </w:pPr>
            <w:r w:rsidRPr="00D33648">
              <w:rPr>
                <w:rFonts w:ascii="Times New Roman" w:eastAsia="SimSun" w:hAnsi="Times New Roman"/>
                <w:sz w:val="22"/>
                <w:szCs w:val="22"/>
                <w:lang w:eastAsia="en-US"/>
              </w:rPr>
              <w:t>Note: RAN1 assumes that switching gap for SDL to FDD switch includes UL TA.</w:t>
            </w:r>
          </w:p>
          <w:p w14:paraId="3256EAA6" w14:textId="26BE49CA" w:rsidR="009151DE" w:rsidRPr="00D33648" w:rsidRDefault="00D33648" w:rsidP="00D33648">
            <w:pPr>
              <w:numPr>
                <w:ilvl w:val="3"/>
                <w:numId w:val="18"/>
              </w:numPr>
              <w:overflowPunct/>
              <w:autoSpaceDE/>
              <w:autoSpaceDN/>
              <w:adjustRightInd/>
              <w:snapToGrid w:val="0"/>
              <w:spacing w:before="60" w:after="0"/>
              <w:textAlignment w:val="auto"/>
              <w:rPr>
                <w:rFonts w:ascii="Times New Roman" w:eastAsia="SimSun" w:hAnsi="Times New Roman"/>
                <w:sz w:val="22"/>
                <w:szCs w:val="22"/>
                <w:lang w:eastAsia="en-US"/>
              </w:rPr>
            </w:pPr>
            <w:r w:rsidRPr="00D33648">
              <w:rPr>
                <w:rFonts w:ascii="Times New Roman" w:eastAsia="SimSun" w:hAnsi="Times New Roman"/>
                <w:sz w:val="22"/>
                <w:szCs w:val="22"/>
                <w:lang w:eastAsia="en-US"/>
              </w:rPr>
              <w:t>FFS: whether it has specification impact.</w:t>
            </w:r>
          </w:p>
        </w:tc>
      </w:tr>
    </w:tbl>
    <w:p w14:paraId="5623C2FA" w14:textId="77777777" w:rsidR="00CE1F05" w:rsidRPr="00361853" w:rsidRDefault="00CE1F05" w:rsidP="00CE1F05">
      <w:pPr>
        <w:widowControl w:val="0"/>
        <w:spacing w:after="0" w:line="360" w:lineRule="auto"/>
        <w:jc w:val="both"/>
        <w:rPr>
          <w:sz w:val="22"/>
          <w:szCs w:val="22"/>
          <w:lang w:eastAsia="ko-KR"/>
        </w:rPr>
      </w:pPr>
    </w:p>
    <w:p w14:paraId="3FB2649F" w14:textId="7FAF66DC" w:rsidR="00062FBA" w:rsidRPr="00062FBA" w:rsidRDefault="00CC4402" w:rsidP="00CE1F05">
      <w:pPr>
        <w:widowControl w:val="0"/>
        <w:spacing w:after="0" w:line="360" w:lineRule="auto"/>
        <w:jc w:val="both"/>
        <w:rPr>
          <w:sz w:val="22"/>
          <w:szCs w:val="22"/>
        </w:rPr>
      </w:pPr>
      <w:r w:rsidRPr="00CC4402">
        <w:rPr>
          <w:sz w:val="22"/>
          <w:szCs w:val="22"/>
        </w:rPr>
        <w:t>Additionally, based on the Feature Lead Summary from RAN1#1</w:t>
      </w:r>
      <w:r w:rsidR="00D33648">
        <w:rPr>
          <w:sz w:val="22"/>
          <w:szCs w:val="22"/>
        </w:rPr>
        <w:t>20bis</w:t>
      </w:r>
      <w:r w:rsidRPr="00CC4402">
        <w:rPr>
          <w:sz w:val="22"/>
          <w:szCs w:val="22"/>
        </w:rPr>
        <w:t>, the following topics are expected to be discussed at RAN#12</w:t>
      </w:r>
      <w:r w:rsidR="00D33648">
        <w:rPr>
          <w:sz w:val="22"/>
          <w:szCs w:val="22"/>
        </w:rPr>
        <w:t>1</w:t>
      </w:r>
      <w:r w:rsidRPr="00CC4402">
        <w:rPr>
          <w:sz w:val="22"/>
          <w:szCs w:val="22"/>
        </w:rPr>
        <w:t xml:space="preserve"> </w:t>
      </w:r>
      <w:r w:rsidR="00062FBA">
        <w:rPr>
          <w:sz w:val="22"/>
          <w:szCs w:val="22"/>
        </w:rPr>
        <w:t>[</w:t>
      </w:r>
      <w:r>
        <w:rPr>
          <w:sz w:val="22"/>
          <w:szCs w:val="22"/>
        </w:rPr>
        <w:t>2</w:t>
      </w:r>
      <w:r w:rsidR="00062FBA">
        <w:rPr>
          <w:sz w:val="22"/>
          <w:szCs w:val="22"/>
        </w:rPr>
        <w:t>]</w:t>
      </w:r>
      <w:r w:rsidR="00062FBA" w:rsidRPr="00062FBA">
        <w:rPr>
          <w:sz w:val="22"/>
          <w:szCs w:val="22"/>
        </w:rPr>
        <w:t>.</w:t>
      </w:r>
    </w:p>
    <w:p w14:paraId="0E52287B" w14:textId="77777777" w:rsidR="003A4967" w:rsidRPr="00062FBA" w:rsidRDefault="003A4967" w:rsidP="003A4967">
      <w:pPr>
        <w:widowControl w:val="0"/>
        <w:spacing w:after="0" w:line="360" w:lineRule="auto"/>
        <w:jc w:val="both"/>
        <w:rPr>
          <w:rFonts w:eastAsiaTheme="minorEastAsia"/>
          <w:sz w:val="22"/>
          <w:szCs w:val="22"/>
        </w:rPr>
      </w:pPr>
    </w:p>
    <w:tbl>
      <w:tblPr>
        <w:tblStyle w:val="ad"/>
        <w:tblW w:w="0" w:type="auto"/>
        <w:tblLook w:val="04A0" w:firstRow="1" w:lastRow="0" w:firstColumn="1" w:lastColumn="0" w:noHBand="0" w:noVBand="1"/>
      </w:tblPr>
      <w:tblGrid>
        <w:gridCol w:w="9962"/>
      </w:tblGrid>
      <w:tr w:rsidR="003A4967" w:rsidRPr="00361853" w14:paraId="64C97EA4" w14:textId="77777777" w:rsidTr="00FB5A5B">
        <w:tc>
          <w:tcPr>
            <w:tcW w:w="9962" w:type="dxa"/>
          </w:tcPr>
          <w:p w14:paraId="3FF56A97" w14:textId="77777777" w:rsidR="00580D4B" w:rsidRPr="00580D4B" w:rsidRDefault="00580D4B" w:rsidP="00580D4B">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580D4B">
              <w:rPr>
                <w:rFonts w:ascii="Times New Roman" w:eastAsia="SimSun" w:hAnsi="Times New Roman"/>
                <w:sz w:val="22"/>
                <w:szCs w:val="22"/>
                <w:lang w:eastAsia="en-US"/>
              </w:rPr>
              <w:t>Semi-static pattern configuration including switching gap</w:t>
            </w:r>
          </w:p>
          <w:p w14:paraId="4507023D" w14:textId="77777777" w:rsidR="00580D4B" w:rsidRPr="00A354AD" w:rsidRDefault="00580D4B" w:rsidP="00A354AD">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A354AD">
              <w:rPr>
                <w:rFonts w:ascii="Times New Roman" w:eastAsia="Times New Roman" w:hAnsi="Times New Roman"/>
                <w:sz w:val="22"/>
                <w:szCs w:val="22"/>
              </w:rPr>
              <w:t>Down selection of the location of switching gap for switching from FDD carrier to SDL carrier among 3 alternatives (always FDD, always SDL, configurable)</w:t>
            </w:r>
          </w:p>
          <w:p w14:paraId="38EDC0C4" w14:textId="77777777" w:rsidR="00580D4B" w:rsidRPr="00A354AD" w:rsidRDefault="00580D4B" w:rsidP="00A354AD">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A354AD">
              <w:rPr>
                <w:rFonts w:ascii="Times New Roman" w:eastAsia="Times New Roman" w:hAnsi="Times New Roman"/>
                <w:sz w:val="22"/>
                <w:szCs w:val="22"/>
              </w:rPr>
              <w:t>Restriction of maximum X switch(es) within Y slot(s), FFS: detailed value and relation of X and Y</w:t>
            </w:r>
          </w:p>
          <w:p w14:paraId="1408FA8B" w14:textId="77777777" w:rsidR="00580D4B" w:rsidRPr="00A354AD" w:rsidRDefault="00580D4B" w:rsidP="00A354AD">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A354AD">
              <w:rPr>
                <w:rFonts w:ascii="Times New Roman" w:eastAsia="Times New Roman" w:hAnsi="Times New Roman"/>
                <w:sz w:val="22"/>
                <w:szCs w:val="22"/>
              </w:rPr>
              <w:t>FFS other restrictions (e.g., maximum number of consecutive slots configured as SDL, etc.)</w:t>
            </w:r>
          </w:p>
          <w:p w14:paraId="37806A15" w14:textId="77777777" w:rsidR="00580D4B" w:rsidRPr="00A354AD" w:rsidRDefault="00580D4B" w:rsidP="00A354AD">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A354AD">
              <w:rPr>
                <w:rFonts w:ascii="Times New Roman" w:eastAsia="Times New Roman" w:hAnsi="Times New Roman"/>
                <w:sz w:val="22"/>
                <w:szCs w:val="22"/>
              </w:rPr>
              <w:t xml:space="preserve">Assumptions/restrictions on important RS, e.g., SSB, TRS, etc. </w:t>
            </w:r>
          </w:p>
          <w:p w14:paraId="54727B53" w14:textId="77777777" w:rsidR="00580D4B" w:rsidRPr="00A354AD" w:rsidRDefault="00580D4B" w:rsidP="00A354AD">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A354AD">
              <w:rPr>
                <w:rFonts w:ascii="Times New Roman" w:eastAsia="SimSun" w:hAnsi="Times New Roman"/>
                <w:sz w:val="22"/>
                <w:szCs w:val="22"/>
                <w:lang w:eastAsia="en-US"/>
              </w:rPr>
              <w:t>How to avoid collision with switching gap, e.g., NW implementation (UE is not expected) or UE to drop, etc.</w:t>
            </w:r>
          </w:p>
          <w:p w14:paraId="46F1F4DF" w14:textId="77777777" w:rsidR="00580D4B" w:rsidRPr="00A354AD" w:rsidRDefault="00580D4B" w:rsidP="00A354AD">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A354AD">
              <w:rPr>
                <w:rFonts w:ascii="Times New Roman" w:eastAsia="Times New Roman" w:hAnsi="Times New Roman"/>
                <w:sz w:val="22"/>
                <w:szCs w:val="22"/>
              </w:rPr>
              <w:t xml:space="preserve">From moderator, to justify the configuration of switching gap, NW should avoid collision </w:t>
            </w:r>
          </w:p>
          <w:p w14:paraId="4B4BE10F" w14:textId="77777777" w:rsidR="00580D4B" w:rsidRPr="00A354AD" w:rsidRDefault="00580D4B" w:rsidP="00A354AD">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A354AD">
              <w:rPr>
                <w:rFonts w:ascii="Times New Roman" w:eastAsia="SimSun" w:hAnsi="Times New Roman"/>
                <w:sz w:val="22"/>
                <w:szCs w:val="22"/>
                <w:lang w:eastAsia="en-US"/>
              </w:rPr>
              <w:t>UE processing timeline</w:t>
            </w:r>
          </w:p>
          <w:p w14:paraId="3905D251" w14:textId="77777777" w:rsidR="00580D4B" w:rsidRPr="00A354AD" w:rsidRDefault="00580D4B" w:rsidP="00A354AD">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A354AD">
              <w:rPr>
                <w:rFonts w:ascii="Times New Roman" w:eastAsia="Times New Roman" w:hAnsi="Times New Roman"/>
                <w:sz w:val="22"/>
                <w:szCs w:val="22"/>
              </w:rPr>
              <w:lastRenderedPageBreak/>
              <w:t>Any processing timeline relaxation is needed, if so, which process and how to relax (considering UL Tx switching as reference point, but keep in mind that we have both DL and UL switch and this agenda is only for semi-static pattern)</w:t>
            </w:r>
          </w:p>
          <w:p w14:paraId="2F624D69" w14:textId="77777777" w:rsidR="00580D4B" w:rsidRPr="00A354AD" w:rsidRDefault="00580D4B" w:rsidP="00A354AD">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A354AD">
              <w:rPr>
                <w:rFonts w:ascii="Times New Roman" w:eastAsia="SimSun" w:hAnsi="Times New Roman"/>
                <w:sz w:val="22"/>
                <w:szCs w:val="22"/>
                <w:lang w:eastAsia="en-US"/>
              </w:rPr>
              <w:t xml:space="preserve">Only candidate scenario that PRACH may require UE to have additional switch </w:t>
            </w:r>
          </w:p>
          <w:p w14:paraId="694082C5" w14:textId="77777777" w:rsidR="00580D4B" w:rsidRPr="00A354AD" w:rsidRDefault="00580D4B" w:rsidP="00A354AD">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A354AD">
              <w:rPr>
                <w:rFonts w:ascii="Times New Roman" w:eastAsia="Times New Roman" w:hAnsi="Times New Roman"/>
                <w:sz w:val="22"/>
                <w:szCs w:val="22"/>
              </w:rPr>
              <w:t xml:space="preserve">Whether to handle, if yes, how to handle </w:t>
            </w:r>
          </w:p>
          <w:p w14:paraId="6AE5A04C" w14:textId="77777777" w:rsidR="00580D4B" w:rsidRPr="00A354AD" w:rsidRDefault="00580D4B" w:rsidP="00A354AD">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A354AD">
              <w:rPr>
                <w:rFonts w:ascii="Times New Roman" w:eastAsia="SimSun" w:hAnsi="Times New Roman"/>
                <w:sz w:val="22"/>
                <w:szCs w:val="22"/>
                <w:lang w:eastAsia="en-US"/>
              </w:rPr>
              <w:t xml:space="preserve">Remaining collision handling with FDD or SDL duration </w:t>
            </w:r>
          </w:p>
          <w:p w14:paraId="0643708F" w14:textId="77777777" w:rsidR="00580D4B" w:rsidRPr="00A354AD" w:rsidRDefault="00580D4B" w:rsidP="00A354AD">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A354AD">
              <w:rPr>
                <w:rFonts w:ascii="Times New Roman" w:eastAsia="Times New Roman" w:hAnsi="Times New Roman"/>
                <w:sz w:val="22"/>
                <w:szCs w:val="22"/>
              </w:rPr>
              <w:t xml:space="preserve">Whether to handle, if yes, which scenarios and how. Please make proposal more concrete so that it can be specified using the existing specification reference as much as possible without creating new terminology </w:t>
            </w:r>
          </w:p>
          <w:p w14:paraId="6441D59E" w14:textId="77777777" w:rsidR="00580D4B" w:rsidRPr="00A354AD" w:rsidRDefault="00580D4B" w:rsidP="00A354AD">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A354AD">
              <w:rPr>
                <w:rFonts w:ascii="Times New Roman" w:eastAsia="SimSun" w:hAnsi="Times New Roman"/>
                <w:sz w:val="22"/>
                <w:szCs w:val="22"/>
                <w:lang w:eastAsia="en-US"/>
              </w:rPr>
              <w:t xml:space="preserve">HARQ-ACK codebook handling (Type I, SPS, etc.) </w:t>
            </w:r>
          </w:p>
          <w:p w14:paraId="4CAD0D07" w14:textId="77777777" w:rsidR="00580D4B" w:rsidRPr="00A354AD" w:rsidRDefault="00580D4B" w:rsidP="00A354AD">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A354AD">
              <w:rPr>
                <w:rFonts w:ascii="Times New Roman" w:eastAsia="SimSun" w:hAnsi="Times New Roman"/>
                <w:sz w:val="22"/>
                <w:szCs w:val="22"/>
                <w:lang w:eastAsia="en-US"/>
              </w:rPr>
              <w:t xml:space="preserve">For </w:t>
            </w:r>
            <w:proofErr w:type="spellStart"/>
            <w:r w:rsidRPr="00A354AD">
              <w:rPr>
                <w:rFonts w:ascii="Times New Roman" w:eastAsia="SimSun" w:hAnsi="Times New Roman"/>
                <w:sz w:val="22"/>
                <w:szCs w:val="22"/>
                <w:lang w:eastAsia="en-US"/>
              </w:rPr>
              <w:t>SCell</w:t>
            </w:r>
            <w:proofErr w:type="spellEnd"/>
            <w:r w:rsidRPr="00A354AD">
              <w:rPr>
                <w:rFonts w:ascii="Times New Roman" w:eastAsia="SimSun" w:hAnsi="Times New Roman"/>
                <w:sz w:val="22"/>
                <w:szCs w:val="22"/>
                <w:lang w:eastAsia="en-US"/>
              </w:rPr>
              <w:t xml:space="preserve"> activation/deactivation</w:t>
            </w:r>
          </w:p>
          <w:p w14:paraId="25D99E56" w14:textId="77777777" w:rsidR="00580D4B" w:rsidRPr="00A354AD" w:rsidRDefault="00580D4B" w:rsidP="00A354AD">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A354AD">
              <w:rPr>
                <w:rFonts w:ascii="Times New Roman" w:eastAsia="Times New Roman" w:hAnsi="Times New Roman"/>
                <w:sz w:val="22"/>
                <w:szCs w:val="22"/>
              </w:rPr>
              <w:t xml:space="preserve">Assume RAN4 will handle it based on the current progress of RAN4 </w:t>
            </w:r>
          </w:p>
          <w:p w14:paraId="289C0616" w14:textId="77777777" w:rsidR="00580D4B" w:rsidRPr="00A354AD" w:rsidRDefault="00580D4B" w:rsidP="00A354AD">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A354AD">
              <w:rPr>
                <w:rFonts w:ascii="Times New Roman" w:eastAsia="SimSun" w:hAnsi="Times New Roman"/>
                <w:sz w:val="22"/>
                <w:szCs w:val="22"/>
                <w:lang w:eastAsia="en-US"/>
              </w:rPr>
              <w:t xml:space="preserve">For </w:t>
            </w:r>
            <w:proofErr w:type="spellStart"/>
            <w:r w:rsidRPr="00A354AD">
              <w:rPr>
                <w:rFonts w:ascii="Times New Roman" w:eastAsia="SimSun" w:hAnsi="Times New Roman"/>
                <w:sz w:val="22"/>
                <w:szCs w:val="22"/>
                <w:lang w:eastAsia="en-US"/>
              </w:rPr>
              <w:t>SCell</w:t>
            </w:r>
            <w:proofErr w:type="spellEnd"/>
            <w:r w:rsidRPr="00A354AD">
              <w:rPr>
                <w:rFonts w:ascii="Times New Roman" w:eastAsia="SimSun" w:hAnsi="Times New Roman"/>
                <w:sz w:val="22"/>
                <w:szCs w:val="22"/>
                <w:lang w:eastAsia="en-US"/>
              </w:rPr>
              <w:t xml:space="preserve"> dormancy </w:t>
            </w:r>
          </w:p>
          <w:p w14:paraId="04A2405B" w14:textId="77777777" w:rsidR="00580D4B" w:rsidRPr="00A354AD" w:rsidRDefault="00580D4B" w:rsidP="00A354AD">
            <w:pPr>
              <w:numPr>
                <w:ilvl w:val="1"/>
                <w:numId w:val="16"/>
              </w:numPr>
              <w:overflowPunct/>
              <w:autoSpaceDE/>
              <w:autoSpaceDN/>
              <w:adjustRightInd/>
              <w:snapToGrid w:val="0"/>
              <w:spacing w:before="60" w:after="0"/>
              <w:ind w:left="511" w:hanging="227"/>
              <w:textAlignment w:val="auto"/>
              <w:rPr>
                <w:rFonts w:ascii="Times New Roman" w:eastAsia="Times New Roman" w:hAnsi="Times New Roman"/>
                <w:sz w:val="22"/>
                <w:szCs w:val="22"/>
              </w:rPr>
            </w:pPr>
            <w:r w:rsidRPr="00A354AD">
              <w:rPr>
                <w:rFonts w:ascii="Times New Roman" w:eastAsia="Times New Roman" w:hAnsi="Times New Roman"/>
                <w:sz w:val="22"/>
                <w:szCs w:val="22"/>
              </w:rPr>
              <w:t xml:space="preserve">Low priority and most likely no time. </w:t>
            </w:r>
            <w:proofErr w:type="spellStart"/>
            <w:r w:rsidRPr="00A354AD">
              <w:rPr>
                <w:rFonts w:ascii="Times New Roman" w:eastAsia="Times New Roman" w:hAnsi="Times New Roman"/>
                <w:sz w:val="22"/>
                <w:szCs w:val="22"/>
              </w:rPr>
              <w:t>SCell</w:t>
            </w:r>
            <w:proofErr w:type="spellEnd"/>
            <w:r w:rsidRPr="00A354AD">
              <w:rPr>
                <w:rFonts w:ascii="Times New Roman" w:eastAsia="Times New Roman" w:hAnsi="Times New Roman"/>
                <w:sz w:val="22"/>
                <w:szCs w:val="22"/>
              </w:rPr>
              <w:t xml:space="preserve"> dormancy does not completely shut down the UE operation on </w:t>
            </w:r>
            <w:proofErr w:type="spellStart"/>
            <w:r w:rsidRPr="00A354AD">
              <w:rPr>
                <w:rFonts w:ascii="Times New Roman" w:eastAsia="Times New Roman" w:hAnsi="Times New Roman"/>
                <w:sz w:val="22"/>
                <w:szCs w:val="22"/>
              </w:rPr>
              <w:t>SCell</w:t>
            </w:r>
            <w:proofErr w:type="spellEnd"/>
            <w:r w:rsidRPr="00A354AD">
              <w:rPr>
                <w:rFonts w:ascii="Times New Roman" w:eastAsia="Times New Roman" w:hAnsi="Times New Roman"/>
                <w:sz w:val="22"/>
                <w:szCs w:val="22"/>
              </w:rPr>
              <w:t>.</w:t>
            </w:r>
          </w:p>
          <w:p w14:paraId="6C110A6A" w14:textId="46C4EEED" w:rsidR="003A4967" w:rsidRPr="00A354AD" w:rsidRDefault="00580D4B" w:rsidP="00A354AD">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580D4B">
              <w:rPr>
                <w:rFonts w:ascii="Times New Roman" w:eastAsia="SimSun" w:hAnsi="Times New Roman"/>
                <w:sz w:val="22"/>
                <w:szCs w:val="22"/>
                <w:lang w:eastAsia="en-US"/>
              </w:rPr>
              <w:t xml:space="preserve">Other issues </w:t>
            </w:r>
          </w:p>
        </w:tc>
      </w:tr>
    </w:tbl>
    <w:p w14:paraId="210C366B" w14:textId="77777777" w:rsidR="003A4967" w:rsidRPr="00361853" w:rsidRDefault="003A4967" w:rsidP="003A4967">
      <w:pPr>
        <w:widowControl w:val="0"/>
        <w:spacing w:after="0" w:line="360" w:lineRule="auto"/>
        <w:jc w:val="both"/>
        <w:rPr>
          <w:sz w:val="22"/>
          <w:szCs w:val="22"/>
          <w:lang w:eastAsia="ko-KR"/>
        </w:rPr>
      </w:pPr>
    </w:p>
    <w:p w14:paraId="0F651DAD" w14:textId="26654EFD" w:rsidR="00AC02D7" w:rsidRDefault="00196C81" w:rsidP="00722366">
      <w:pPr>
        <w:widowControl w:val="0"/>
        <w:spacing w:after="0" w:line="360" w:lineRule="auto"/>
        <w:jc w:val="both"/>
        <w:rPr>
          <w:sz w:val="22"/>
          <w:szCs w:val="22"/>
          <w:lang w:eastAsia="ko-KR"/>
        </w:rPr>
      </w:pPr>
      <w:r w:rsidRPr="00196C81">
        <w:rPr>
          <w:sz w:val="22"/>
          <w:szCs w:val="22"/>
        </w:rPr>
        <w:t>In this contribution, we discuss the details of semi-static pattern configuration and the associated collision management for the switching gap</w:t>
      </w:r>
      <w:r>
        <w:rPr>
          <w:sz w:val="22"/>
          <w:szCs w:val="22"/>
        </w:rPr>
        <w:t>.</w:t>
      </w:r>
    </w:p>
    <w:p w14:paraId="0C9BF223" w14:textId="77777777" w:rsidR="006D3A03" w:rsidRPr="006D3A03" w:rsidRDefault="006D3A03" w:rsidP="006D3A03">
      <w:pPr>
        <w:pStyle w:val="1"/>
        <w:rPr>
          <w:sz w:val="28"/>
        </w:rPr>
      </w:pPr>
      <w:r w:rsidRPr="006D3A03">
        <w:rPr>
          <w:sz w:val="28"/>
        </w:rPr>
        <w:t xml:space="preserve">Discussion </w:t>
      </w:r>
    </w:p>
    <w:p w14:paraId="55A4DF09" w14:textId="0ABBC343" w:rsidR="006D3A03" w:rsidRPr="00070E4A" w:rsidRDefault="006D3A03" w:rsidP="006D3A03">
      <w:pPr>
        <w:pStyle w:val="2"/>
        <w:keepLines w:val="0"/>
        <w:widowControl w:val="0"/>
        <w:numPr>
          <w:ilvl w:val="0"/>
          <w:numId w:val="0"/>
        </w:numPr>
        <w:wordWrap w:val="0"/>
        <w:overflowPunct/>
        <w:adjustRightInd/>
        <w:spacing w:before="0" w:afterLines="50" w:after="120"/>
        <w:ind w:left="432" w:hanging="432"/>
        <w:jc w:val="both"/>
        <w:textAlignment w:val="auto"/>
        <w:rPr>
          <w:rFonts w:eastAsia="Arial Unicode MS" w:cs="Arial"/>
          <w:kern w:val="2"/>
          <w:sz w:val="24"/>
          <w:szCs w:val="28"/>
          <w:lang w:val="en-US" w:eastAsia="ko-KR"/>
        </w:rPr>
      </w:pPr>
      <w:r w:rsidRPr="00070E4A">
        <w:rPr>
          <w:rFonts w:eastAsia="Arial Unicode MS" w:cs="Arial" w:hint="eastAsia"/>
          <w:kern w:val="2"/>
          <w:sz w:val="24"/>
          <w:szCs w:val="28"/>
          <w:lang w:val="en-US" w:eastAsia="ko-KR"/>
        </w:rPr>
        <w:t>2.1</w:t>
      </w:r>
      <w:r w:rsidRPr="00070E4A">
        <w:rPr>
          <w:rFonts w:eastAsia="Arial Unicode MS" w:cs="Arial"/>
          <w:kern w:val="2"/>
          <w:sz w:val="24"/>
          <w:szCs w:val="28"/>
          <w:lang w:val="en-US" w:eastAsia="ko-KR"/>
        </w:rPr>
        <w:t xml:space="preserve"> </w:t>
      </w:r>
      <w:r w:rsidR="00126B1E" w:rsidRPr="00126B1E">
        <w:rPr>
          <w:rFonts w:eastAsia="Arial Unicode MS" w:cs="Arial"/>
          <w:kern w:val="2"/>
          <w:sz w:val="24"/>
          <w:szCs w:val="28"/>
          <w:lang w:val="en-US" w:eastAsia="ko-KR"/>
        </w:rPr>
        <w:t>Semi-static pattern configuration including switching gap</w:t>
      </w:r>
    </w:p>
    <w:p w14:paraId="4911D895" w14:textId="4D10B2B6" w:rsidR="00484C68" w:rsidRDefault="003803BE" w:rsidP="00484C68">
      <w:pPr>
        <w:pStyle w:val="af6"/>
        <w:spacing w:line="360" w:lineRule="auto"/>
        <w:jc w:val="both"/>
        <w:rPr>
          <w:sz w:val="22"/>
        </w:rPr>
      </w:pPr>
      <w:r w:rsidRPr="003803BE">
        <w:rPr>
          <w:sz w:val="22"/>
        </w:rPr>
        <w:t>The location of the switching gap for FDD to SDL transition needs to be clearly defined to ensure robust operation in low band NR carrier aggregation via switching</w:t>
      </w:r>
      <w:r w:rsidR="00484C68" w:rsidRPr="00484C68">
        <w:rPr>
          <w:sz w:val="22"/>
        </w:rPr>
        <w:t>. The switching pattern is configured semi-statically via RRC and operates on a slot basis, with switching gaps intended to isolate carrier transitions such that the UE operates only on one carrier at any given time.</w:t>
      </w:r>
      <w:r w:rsidR="00484C68">
        <w:rPr>
          <w:sz w:val="22"/>
        </w:rPr>
        <w:t xml:space="preserve"> </w:t>
      </w:r>
    </w:p>
    <w:p w14:paraId="6E34ECD2" w14:textId="69850604" w:rsidR="00484C68" w:rsidRPr="00484C68" w:rsidRDefault="00E12FD2" w:rsidP="00484C68">
      <w:pPr>
        <w:pStyle w:val="af6"/>
        <w:spacing w:line="360" w:lineRule="auto"/>
        <w:jc w:val="both"/>
        <w:rPr>
          <w:sz w:val="22"/>
        </w:rPr>
      </w:pPr>
      <w:r w:rsidRPr="00E12FD2">
        <w:rPr>
          <w:sz w:val="22"/>
        </w:rPr>
        <w:t xml:space="preserve">Previously, </w:t>
      </w:r>
      <w:r>
        <w:rPr>
          <w:sz w:val="22"/>
        </w:rPr>
        <w:t>t</w:t>
      </w:r>
      <w:r w:rsidR="00484C68" w:rsidRPr="00484C68">
        <w:rPr>
          <w:sz w:val="22"/>
        </w:rPr>
        <w:t>hree options were previously considered: switching gap always configured at the switch-from carrier (i.e., FDD), switching gap always configured at the SDL carrier, and switching gap configured either at FDD or SDL based on network configuration.</w:t>
      </w:r>
      <w:r w:rsidR="00484C68">
        <w:rPr>
          <w:sz w:val="22"/>
        </w:rPr>
        <w:t xml:space="preserve"> </w:t>
      </w:r>
      <w:r w:rsidR="003803BE" w:rsidRPr="003803BE">
        <w:rPr>
          <w:sz w:val="22"/>
        </w:rPr>
        <w:t>Placing the switching gap at the switch-from carrier (FDD) has been identified as a consistent and efficient solution.</w:t>
      </w:r>
      <w:r w:rsidR="00484C68" w:rsidRPr="00484C68">
        <w:rPr>
          <w:sz w:val="22"/>
        </w:rPr>
        <w:t xml:space="preserve"> This option aligns well with the slot-based design framework and supports a clear timing reference using the downlink timing of the </w:t>
      </w:r>
      <w:proofErr w:type="spellStart"/>
      <w:r w:rsidR="00484C68" w:rsidRPr="00484C68">
        <w:rPr>
          <w:sz w:val="22"/>
        </w:rPr>
        <w:t>PCell</w:t>
      </w:r>
      <w:proofErr w:type="spellEnd"/>
      <w:r w:rsidR="00484C68" w:rsidRPr="00484C68">
        <w:rPr>
          <w:sz w:val="22"/>
        </w:rPr>
        <w:t>. It allows the transition from FDD to SDL to occur smoothly without interfering with ongoing uplink transmissions or reference signal measurements. It simplifies both network-side scheduling logic and UE-side processing, promoting robust and predictable behavior across vendors. Additionally, this approach allows preemptive exclusion of the final FDD slot from scheduling certain signals, such as CSI-RS or PUCCH, minimizing the risk of collision.</w:t>
      </w:r>
      <w:r w:rsidR="00484C68">
        <w:rPr>
          <w:sz w:val="22"/>
        </w:rPr>
        <w:t xml:space="preserve"> </w:t>
      </w:r>
      <w:r w:rsidR="00484C68" w:rsidRPr="00484C68">
        <w:rPr>
          <w:sz w:val="22"/>
        </w:rPr>
        <w:t xml:space="preserve">Placing the switching gap at the SDL carrier may offer some benefits in terms of maintaining continuous use of the final slot on the FDD carrier, particularly in scenarios where the FDD resource is heavily loaded. However, this configuration may introduce </w:t>
      </w:r>
      <w:r w:rsidR="00484C68" w:rsidRPr="00484C68">
        <w:rPr>
          <w:sz w:val="22"/>
        </w:rPr>
        <w:lastRenderedPageBreak/>
        <w:t>challenges for uplink timing alignment and could complicate scheduling due to the shift in timing reference to the SDL side.</w:t>
      </w:r>
      <w:r w:rsidR="00484C68">
        <w:rPr>
          <w:sz w:val="22"/>
        </w:rPr>
        <w:t xml:space="preserve"> </w:t>
      </w:r>
      <w:r w:rsidR="00484C68" w:rsidRPr="00484C68">
        <w:rPr>
          <w:sz w:val="22"/>
        </w:rPr>
        <w:t>Allowing the network to configure the switching gap on either carrier may provide flexibility under varied deployment or traffic conditions. However, it can increase signaling complexity and introduce implementation inconsistencies, particularly in multi-vendor scenarios. This may reduce predictability in switching behavior and place additional processing requirements on the UE.</w:t>
      </w:r>
    </w:p>
    <w:p w14:paraId="593DC044" w14:textId="6BEFEFB3" w:rsidR="00484C68" w:rsidRPr="00484C68" w:rsidRDefault="00484C68" w:rsidP="00484C68">
      <w:pPr>
        <w:pStyle w:val="af6"/>
        <w:spacing w:line="360" w:lineRule="auto"/>
        <w:jc w:val="both"/>
        <w:rPr>
          <w:sz w:val="22"/>
        </w:rPr>
      </w:pPr>
      <w:r w:rsidRPr="00484C68">
        <w:rPr>
          <w:sz w:val="22"/>
        </w:rPr>
        <w:t xml:space="preserve">Although placing the switching gap at the FDD carrier may lead to some scheduling constraints in the final FDD slot, these can be mitigated by treating the slot as a protected or restricted region in scheduling policies. For example, </w:t>
      </w:r>
      <w:r w:rsidR="00596F24">
        <w:rPr>
          <w:sz w:val="22"/>
        </w:rPr>
        <w:t xml:space="preserve">the </w:t>
      </w:r>
      <w:proofErr w:type="spellStart"/>
      <w:r w:rsidRPr="00484C68">
        <w:rPr>
          <w:sz w:val="22"/>
        </w:rPr>
        <w:t>gNB</w:t>
      </w:r>
      <w:proofErr w:type="spellEnd"/>
      <w:r w:rsidRPr="00484C68">
        <w:rPr>
          <w:sz w:val="22"/>
        </w:rPr>
        <w:t xml:space="preserve"> may avoid scheduling PDSCH or UL grants in that slot and exclude RS transmissions to reduce conflict. Careful RRC configuration of the switching pattern may further protect uplink timing and ensure signal integrity.</w:t>
      </w:r>
    </w:p>
    <w:p w14:paraId="128A5D21" w14:textId="61236492" w:rsidR="00641D01" w:rsidRPr="000C04DF" w:rsidRDefault="00641D01" w:rsidP="00795760">
      <w:pPr>
        <w:pStyle w:val="af6"/>
        <w:spacing w:before="0" w:beforeAutospacing="0" w:after="0" w:afterAutospacing="0" w:line="360" w:lineRule="auto"/>
        <w:jc w:val="both"/>
        <w:rPr>
          <w:rFonts w:eastAsiaTheme="minorEastAsia"/>
          <w:sz w:val="22"/>
          <w:szCs w:val="22"/>
        </w:rPr>
      </w:pPr>
    </w:p>
    <w:p w14:paraId="5B30C77B" w14:textId="7CCA723E" w:rsidR="00641D01" w:rsidRPr="001B7B7B" w:rsidRDefault="00641D01" w:rsidP="00641D01">
      <w:pPr>
        <w:pStyle w:val="af6"/>
        <w:spacing w:before="0" w:beforeAutospacing="0" w:after="0" w:afterAutospacing="0" w:line="360" w:lineRule="auto"/>
        <w:jc w:val="both"/>
        <w:rPr>
          <w:b/>
          <w:sz w:val="22"/>
        </w:rPr>
      </w:pPr>
      <w:r w:rsidRPr="001B7B7B">
        <w:rPr>
          <w:b/>
          <w:sz w:val="22"/>
        </w:rPr>
        <w:t xml:space="preserve">Proposal </w:t>
      </w:r>
      <w:r>
        <w:rPr>
          <w:b/>
          <w:sz w:val="22"/>
        </w:rPr>
        <w:t>1</w:t>
      </w:r>
      <w:r w:rsidRPr="001B7B7B">
        <w:rPr>
          <w:b/>
          <w:sz w:val="22"/>
        </w:rPr>
        <w:t xml:space="preserve">: </w:t>
      </w:r>
      <w:r w:rsidR="00484C68" w:rsidRPr="00484C68">
        <w:rPr>
          <w:b/>
          <w:sz w:val="22"/>
        </w:rPr>
        <w:t>The switching gap for FDD to SDL transition can be configured at the switch-from carrier (i.e., FDD).</w:t>
      </w:r>
    </w:p>
    <w:p w14:paraId="56E70128" w14:textId="46A21E6F" w:rsidR="00641D01" w:rsidRPr="00641D01" w:rsidRDefault="00641D01" w:rsidP="00795760">
      <w:pPr>
        <w:pStyle w:val="af6"/>
        <w:spacing w:before="0" w:beforeAutospacing="0" w:after="0" w:afterAutospacing="0" w:line="360" w:lineRule="auto"/>
        <w:jc w:val="both"/>
        <w:rPr>
          <w:rFonts w:eastAsiaTheme="minorEastAsia"/>
          <w:sz w:val="22"/>
          <w:szCs w:val="22"/>
        </w:rPr>
      </w:pPr>
    </w:p>
    <w:p w14:paraId="26A4C258" w14:textId="298D77C2" w:rsidR="00484C68" w:rsidRPr="00484C68" w:rsidRDefault="00484C68" w:rsidP="00484C68">
      <w:pPr>
        <w:pStyle w:val="af6"/>
        <w:spacing w:after="0" w:line="360" w:lineRule="auto"/>
        <w:jc w:val="both"/>
        <w:rPr>
          <w:sz w:val="22"/>
        </w:rPr>
      </w:pPr>
      <w:r w:rsidRPr="00484C68">
        <w:rPr>
          <w:sz w:val="22"/>
        </w:rPr>
        <w:t>To complement the decision on switching gap placement, the frequency of switching between FDD and SDL carriers is another important aspect of semi-static configuration. Frequent switching within a configured bitmap duration can impact RS reception, HARQ operations, and uplink timing alignment. Therefore, switching patterns should maintain moderate frequency to support stable system performance.</w:t>
      </w:r>
      <w:r>
        <w:rPr>
          <w:sz w:val="22"/>
        </w:rPr>
        <w:t xml:space="preserve"> </w:t>
      </w:r>
      <w:r w:rsidRPr="00484C68">
        <w:rPr>
          <w:sz w:val="22"/>
        </w:rPr>
        <w:t>A switching pattern is semi-statically defined over a bitmap, such as 40 slots, where each bit maps to a carrier. Each transition between FDD and SDL is a switching event, and each carrier duration is expected to last for a reasonable number of consecutive slots.</w:t>
      </w:r>
    </w:p>
    <w:p w14:paraId="29217A6F" w14:textId="70416FDE" w:rsidR="001278E5" w:rsidRPr="001278E5" w:rsidRDefault="00484C68" w:rsidP="00484C68">
      <w:pPr>
        <w:pStyle w:val="af6"/>
        <w:spacing w:after="0" w:line="360" w:lineRule="auto"/>
        <w:jc w:val="both"/>
        <w:rPr>
          <w:rFonts w:ascii="굴림" w:eastAsia="굴림" w:hAnsi="굴림" w:cs="굴림"/>
          <w:lang w:eastAsia="ko-KR"/>
        </w:rPr>
      </w:pPr>
      <w:r w:rsidRPr="00484C68">
        <w:rPr>
          <w:sz w:val="22"/>
        </w:rPr>
        <w:t>Switching too frequently—such as every 1 or 2 slots—can disrupt reference signal reception (e.g., SSB, TRS, CSI-RS), which often rel</w:t>
      </w:r>
      <w:r w:rsidR="00596F24">
        <w:rPr>
          <w:sz w:val="22"/>
        </w:rPr>
        <w:t>ies</w:t>
      </w:r>
      <w:r w:rsidRPr="00484C68">
        <w:rPr>
          <w:sz w:val="22"/>
        </w:rPr>
        <w:t xml:space="preserve"> on multi-slot coherence to ensure reliable measurement and decoding. This may lead to reduced channel estimation accuracy and degraded beam management. In the HARQ process, frequent switching can misalign data transmission and corresponding ACK/NACK reception windows, potentially stalling the retransmission cycle or causing decoding failures. In addition, uplink timing advance (TA) may become unstable, as consistent uplink timing references require uninterrupted slot continuity. These issues may also increase UE processing complexity and power consumption, while limiting </w:t>
      </w:r>
      <w:proofErr w:type="spellStart"/>
      <w:r w:rsidRPr="00484C68">
        <w:rPr>
          <w:sz w:val="22"/>
        </w:rPr>
        <w:t>gNB</w:t>
      </w:r>
      <w:proofErr w:type="spellEnd"/>
      <w:r w:rsidRPr="00484C68">
        <w:rPr>
          <w:sz w:val="22"/>
        </w:rPr>
        <w:t xml:space="preserve"> scheduling flexibility, particularly for latency-sensitive or </w:t>
      </w:r>
      <w:proofErr w:type="spellStart"/>
      <w:r w:rsidRPr="00484C68">
        <w:rPr>
          <w:sz w:val="22"/>
        </w:rPr>
        <w:t>bursty</w:t>
      </w:r>
      <w:proofErr w:type="spellEnd"/>
      <w:r w:rsidRPr="00484C68">
        <w:rPr>
          <w:sz w:val="22"/>
        </w:rPr>
        <w:t xml:space="preserve"> traffic.</w:t>
      </w:r>
      <w:r>
        <w:rPr>
          <w:sz w:val="22"/>
        </w:rPr>
        <w:t xml:space="preserve"> </w:t>
      </w:r>
      <w:r w:rsidRPr="00484C68">
        <w:rPr>
          <w:sz w:val="22"/>
        </w:rPr>
        <w:t>For example, limiting switching occasions to 8 or fewer within a 40-slot bitmap yields an average carrier phase length of 5 or more slots. This configuration aligns with typical RS periodicity, HARQ timing windows, and uplink TA stability, while allowing implementation flexibility.</w:t>
      </w:r>
    </w:p>
    <w:p w14:paraId="61CC0661" w14:textId="77777777" w:rsidR="00CE74DF" w:rsidRPr="00CE74DF" w:rsidRDefault="00CE74DF" w:rsidP="00D16897">
      <w:pPr>
        <w:pStyle w:val="af6"/>
        <w:spacing w:before="0" w:beforeAutospacing="0" w:after="0" w:afterAutospacing="0" w:line="360" w:lineRule="auto"/>
        <w:jc w:val="both"/>
        <w:rPr>
          <w:rFonts w:eastAsiaTheme="minorEastAsia"/>
          <w:bCs/>
          <w:sz w:val="22"/>
          <w:szCs w:val="20"/>
        </w:rPr>
      </w:pPr>
    </w:p>
    <w:p w14:paraId="2ABB7C08" w14:textId="2005180A" w:rsidR="008302CC" w:rsidRPr="001B7B7B" w:rsidRDefault="008302CC" w:rsidP="002E21D5">
      <w:pPr>
        <w:pStyle w:val="af6"/>
        <w:spacing w:before="0" w:beforeAutospacing="0" w:after="0" w:afterAutospacing="0" w:line="360" w:lineRule="auto"/>
        <w:jc w:val="both"/>
        <w:rPr>
          <w:b/>
          <w:sz w:val="22"/>
        </w:rPr>
      </w:pPr>
      <w:r w:rsidRPr="001B7B7B">
        <w:rPr>
          <w:b/>
          <w:sz w:val="22"/>
        </w:rPr>
        <w:lastRenderedPageBreak/>
        <w:t xml:space="preserve">Proposal 2: </w:t>
      </w:r>
      <w:r w:rsidR="00484C68" w:rsidRPr="00484C68">
        <w:rPr>
          <w:b/>
          <w:sz w:val="22"/>
        </w:rPr>
        <w:t>Switching between FDD and SDL carriers may be configured to ensure that each carrier duration continues for a reasonable number of consecutive slots.</w:t>
      </w:r>
    </w:p>
    <w:p w14:paraId="7F67DB15" w14:textId="25AD67BD" w:rsidR="008302CC" w:rsidRDefault="008302CC" w:rsidP="00D16897">
      <w:pPr>
        <w:pStyle w:val="af6"/>
        <w:spacing w:before="0" w:beforeAutospacing="0" w:after="0" w:afterAutospacing="0" w:line="360" w:lineRule="auto"/>
        <w:jc w:val="both"/>
        <w:rPr>
          <w:rFonts w:eastAsiaTheme="minorEastAsia"/>
          <w:bCs/>
          <w:sz w:val="22"/>
          <w:szCs w:val="20"/>
        </w:rPr>
      </w:pPr>
    </w:p>
    <w:p w14:paraId="0660F71C" w14:textId="280AE6E5" w:rsidR="00C74D0B" w:rsidRPr="00070E4A" w:rsidRDefault="00C74D0B" w:rsidP="00C74D0B">
      <w:pPr>
        <w:pStyle w:val="2"/>
        <w:keepLines w:val="0"/>
        <w:widowControl w:val="0"/>
        <w:numPr>
          <w:ilvl w:val="0"/>
          <w:numId w:val="0"/>
        </w:numPr>
        <w:wordWrap w:val="0"/>
        <w:overflowPunct/>
        <w:adjustRightInd/>
        <w:spacing w:before="0" w:afterLines="50" w:after="120"/>
        <w:ind w:left="432" w:hanging="432"/>
        <w:jc w:val="both"/>
        <w:textAlignment w:val="auto"/>
        <w:rPr>
          <w:rFonts w:eastAsia="Arial Unicode MS" w:cs="Arial"/>
          <w:kern w:val="2"/>
          <w:sz w:val="24"/>
          <w:szCs w:val="28"/>
          <w:lang w:val="en-US" w:eastAsia="ko-KR"/>
        </w:rPr>
      </w:pPr>
      <w:r w:rsidRPr="00070E4A">
        <w:rPr>
          <w:rFonts w:eastAsia="Arial Unicode MS" w:cs="Arial" w:hint="eastAsia"/>
          <w:kern w:val="2"/>
          <w:sz w:val="24"/>
          <w:szCs w:val="28"/>
          <w:lang w:val="en-US" w:eastAsia="ko-KR"/>
        </w:rPr>
        <w:t>2.</w:t>
      </w:r>
      <w:r>
        <w:rPr>
          <w:rFonts w:eastAsia="Arial Unicode MS" w:cs="Arial"/>
          <w:kern w:val="2"/>
          <w:sz w:val="24"/>
          <w:szCs w:val="28"/>
          <w:lang w:val="en-US" w:eastAsia="ko-KR"/>
        </w:rPr>
        <w:t>2</w:t>
      </w:r>
      <w:r w:rsidRPr="00070E4A">
        <w:rPr>
          <w:rFonts w:eastAsia="Arial Unicode MS" w:cs="Arial"/>
          <w:kern w:val="2"/>
          <w:sz w:val="24"/>
          <w:szCs w:val="28"/>
          <w:lang w:val="en-US" w:eastAsia="ko-KR"/>
        </w:rPr>
        <w:t xml:space="preserve"> </w:t>
      </w:r>
      <w:r w:rsidRPr="00C74D0B">
        <w:rPr>
          <w:rFonts w:eastAsia="Arial Unicode MS" w:cs="Arial"/>
          <w:kern w:val="2"/>
          <w:sz w:val="24"/>
          <w:szCs w:val="28"/>
          <w:lang w:val="en-US" w:eastAsia="ko-KR"/>
        </w:rPr>
        <w:t>Collision management for switching gap</w:t>
      </w:r>
    </w:p>
    <w:p w14:paraId="61C72838" w14:textId="76542BD7" w:rsidR="00CC07BE" w:rsidRPr="00CC07BE" w:rsidRDefault="00227D68" w:rsidP="00CC07BE">
      <w:pPr>
        <w:pStyle w:val="af6"/>
        <w:spacing w:after="0" w:line="360" w:lineRule="auto"/>
        <w:jc w:val="both"/>
        <w:rPr>
          <w:sz w:val="22"/>
        </w:rPr>
      </w:pPr>
      <w:r>
        <w:rPr>
          <w:sz w:val="22"/>
        </w:rPr>
        <w:t>S</w:t>
      </w:r>
      <w:r w:rsidR="00CC07BE" w:rsidRPr="00CC07BE">
        <w:rPr>
          <w:sz w:val="22"/>
        </w:rPr>
        <w:t>emi-static switching configurations between FDD and SDL carriers require careful attention to switching gap collisions. The switching gap is a designated period during which the UE does not operate on either carrier to enable safe RF switching and timing alignment. To ensure seamless operation without transmission or reception conflicts, it is essential to manage the risk of collisions between scheduled signals and the switching gap.</w:t>
      </w:r>
      <w:r w:rsidR="00C74D0B">
        <w:rPr>
          <w:sz w:val="22"/>
        </w:rPr>
        <w:t xml:space="preserve"> </w:t>
      </w:r>
      <w:r w:rsidR="00CC07BE" w:rsidRPr="00CC07BE">
        <w:rPr>
          <w:sz w:val="22"/>
        </w:rPr>
        <w:t>For dynamic or scheduled transmissions such as DCI-triggered PDSCH, PUSCH, HARQ-ACK, SR, CSI feedback, and SRS triggered by MAC-CE or DCI, the network can fully control the scheduling timing. In these cases, the network should prevent any scheduling of these signals on a carrier that is inactive due to a switching gap. This ensures that the UE is not required to take any additional action, such as dropping or rescheduling, thereby simplifying UE behavior and maintaining deterministic system operation.</w:t>
      </w:r>
      <w:r w:rsidR="00C74D0B">
        <w:rPr>
          <w:sz w:val="22"/>
        </w:rPr>
        <w:t xml:space="preserve"> </w:t>
      </w:r>
      <w:r w:rsidR="00CC07BE" w:rsidRPr="00CC07BE">
        <w:rPr>
          <w:sz w:val="22"/>
        </w:rPr>
        <w:t>However, for periodic or semi-static resources, including periodic CSI-RS, semi-persistent CSI-RS, SPS-PDSCH, CG-PUSCH, periodic SRS, and SR configured on PUCCH, there may be instances where the scheduled signal coincides with a switching gap. Because these resources are not dynamically scheduled each time, the network may not be able to avoid such overlap in every case. In these specific and limited cases, the UE may drop the reception or transmission of the signal that overlaps with the switching gap.</w:t>
      </w:r>
    </w:p>
    <w:p w14:paraId="305EDCF6" w14:textId="77777777" w:rsidR="00CC07BE" w:rsidRPr="00CC07BE" w:rsidRDefault="00CC07BE" w:rsidP="00CC07BE">
      <w:pPr>
        <w:pStyle w:val="af6"/>
        <w:spacing w:after="0" w:line="360" w:lineRule="auto"/>
        <w:jc w:val="both"/>
        <w:rPr>
          <w:sz w:val="22"/>
        </w:rPr>
      </w:pPr>
      <w:r w:rsidRPr="00CC07BE">
        <w:rPr>
          <w:sz w:val="22"/>
        </w:rPr>
        <w:t>The scope of such UE drop behavior must be strictly confined to a clearly defined set of signals to avoid ambiguity and to ensure consistent implementation across different vendors. For example, the UE is expected to drop a signal only if it falls into typical categories such as: periodic or semi-persistent CSI-RS configured via CSI-</w:t>
      </w:r>
      <w:proofErr w:type="spellStart"/>
      <w:r w:rsidRPr="00CC07BE">
        <w:rPr>
          <w:sz w:val="22"/>
        </w:rPr>
        <w:t>ReportConfig</w:t>
      </w:r>
      <w:proofErr w:type="spellEnd"/>
      <w:r w:rsidRPr="00CC07BE">
        <w:rPr>
          <w:sz w:val="22"/>
        </w:rPr>
        <w:t xml:space="preserve">, periodic or semi-persistent SRS, SPS-PDSCH, CG-PUSCH of type 1 or type 2, SR configured on PUCCH, or a transmission utilizing repetition or multiple-slot allocation such as </w:t>
      </w:r>
      <w:proofErr w:type="spellStart"/>
      <w:r w:rsidRPr="00CC07BE">
        <w:rPr>
          <w:sz w:val="22"/>
        </w:rPr>
        <w:t>TBoMS</w:t>
      </w:r>
      <w:proofErr w:type="spellEnd"/>
      <w:r w:rsidRPr="00CC07BE">
        <w:rPr>
          <w:sz w:val="22"/>
        </w:rPr>
        <w:t>.</w:t>
      </w:r>
    </w:p>
    <w:p w14:paraId="043D998B" w14:textId="5CFC7948" w:rsidR="00CC07BE" w:rsidRPr="00CC07BE" w:rsidRDefault="00CC07BE" w:rsidP="00CC07BE">
      <w:pPr>
        <w:pStyle w:val="af6"/>
        <w:spacing w:after="0" w:line="360" w:lineRule="auto"/>
        <w:jc w:val="both"/>
        <w:rPr>
          <w:rFonts w:ascii="굴림" w:eastAsia="굴림" w:hAnsi="굴림" w:cs="굴림"/>
          <w:lang w:eastAsia="ko-KR"/>
        </w:rPr>
      </w:pPr>
      <w:r w:rsidRPr="00CC07BE">
        <w:rPr>
          <w:sz w:val="22"/>
        </w:rPr>
        <w:t>Allowing the UE to drop signals outside this defined list would introduce uncertainty and potential performance inconsistency. Therefore, any other signals or channels, especially those triggered dynamically, must be managed exclusively by the network to avoid collision.</w:t>
      </w:r>
      <w:r w:rsidR="00C74D0B">
        <w:rPr>
          <w:sz w:val="22"/>
        </w:rPr>
        <w:t xml:space="preserve"> </w:t>
      </w:r>
      <w:r w:rsidRPr="00CC07BE">
        <w:rPr>
          <w:sz w:val="22"/>
        </w:rPr>
        <w:t>This approach supports a clear separation of responsibilities between the network and the UE, promotes predictable switching behavior, and preserves the reliability of physical and MAC layer operations.</w:t>
      </w:r>
    </w:p>
    <w:p w14:paraId="4A381029" w14:textId="35D6C0F2" w:rsidR="00CC07BE" w:rsidRPr="00CC07BE" w:rsidRDefault="00CC07BE" w:rsidP="00CC07BE">
      <w:pPr>
        <w:pStyle w:val="af6"/>
        <w:spacing w:before="0" w:beforeAutospacing="0" w:after="0" w:afterAutospacing="0" w:line="360" w:lineRule="auto"/>
        <w:jc w:val="both"/>
        <w:rPr>
          <w:b/>
          <w:sz w:val="22"/>
        </w:rPr>
      </w:pPr>
      <w:r w:rsidRPr="00CC07BE">
        <w:rPr>
          <w:b/>
          <w:sz w:val="22"/>
        </w:rPr>
        <w:t>Proposal</w:t>
      </w:r>
      <w:r w:rsidR="00BE7B5E">
        <w:rPr>
          <w:b/>
          <w:sz w:val="22"/>
        </w:rPr>
        <w:t xml:space="preserve"> 3</w:t>
      </w:r>
      <w:r w:rsidRPr="00CC07BE">
        <w:rPr>
          <w:b/>
          <w:sz w:val="22"/>
        </w:rPr>
        <w:t>: Collisions between the switching gap and physical signals or channels can be avoided by the network through scheduling. The UE may drop a signal only if it overlaps with the switching gap and belongs to a predefined list of periodic or semi-static resources.</w:t>
      </w:r>
    </w:p>
    <w:p w14:paraId="40F24691" w14:textId="298A12ED" w:rsidR="00CC07BE" w:rsidRPr="00CC07BE" w:rsidRDefault="00CC07BE" w:rsidP="00D16897">
      <w:pPr>
        <w:pStyle w:val="af6"/>
        <w:spacing w:before="0" w:beforeAutospacing="0" w:after="0" w:afterAutospacing="0" w:line="360" w:lineRule="auto"/>
        <w:jc w:val="both"/>
        <w:rPr>
          <w:rFonts w:eastAsiaTheme="minorEastAsia"/>
          <w:bCs/>
          <w:sz w:val="22"/>
          <w:szCs w:val="20"/>
        </w:rPr>
      </w:pPr>
    </w:p>
    <w:p w14:paraId="7D7E3419" w14:textId="4DE9C228" w:rsidR="00535B74" w:rsidRPr="00D16897" w:rsidRDefault="00535B74" w:rsidP="00762531">
      <w:pPr>
        <w:pStyle w:val="1"/>
        <w:rPr>
          <w:color w:val="000000" w:themeColor="text1"/>
          <w:sz w:val="28"/>
        </w:rPr>
      </w:pPr>
      <w:bookmarkStart w:id="6" w:name="_GoBack"/>
      <w:bookmarkEnd w:id="6"/>
      <w:r w:rsidRPr="00D16897">
        <w:rPr>
          <w:color w:val="000000" w:themeColor="text1"/>
          <w:sz w:val="28"/>
        </w:rPr>
        <w:lastRenderedPageBreak/>
        <w:t>Conclusions</w:t>
      </w:r>
    </w:p>
    <w:p w14:paraId="255BC1A7" w14:textId="0AA47463" w:rsidR="00DA30B6" w:rsidRPr="00DA30B6" w:rsidRDefault="008364B5" w:rsidP="002E21D5">
      <w:pPr>
        <w:pStyle w:val="af6"/>
        <w:spacing w:after="0" w:line="360" w:lineRule="auto"/>
        <w:jc w:val="both"/>
        <w:rPr>
          <w:sz w:val="22"/>
        </w:rPr>
      </w:pPr>
      <w:r w:rsidRPr="008364B5">
        <w:rPr>
          <w:sz w:val="22"/>
        </w:rPr>
        <w:t>In this contribution, we provided our view on the semi-static pattern configuration and collision handling for the switching gap, and proposed the following.</w:t>
      </w:r>
    </w:p>
    <w:p w14:paraId="2675F032" w14:textId="566DA2B5" w:rsidR="009D4E01" w:rsidRPr="009D4E01" w:rsidRDefault="009D4E01" w:rsidP="009D4E01">
      <w:pPr>
        <w:pStyle w:val="af6"/>
        <w:spacing w:after="0" w:line="360" w:lineRule="auto"/>
        <w:jc w:val="both"/>
        <w:rPr>
          <w:b/>
          <w:sz w:val="22"/>
        </w:rPr>
      </w:pPr>
      <w:r w:rsidRPr="009D4E01">
        <w:rPr>
          <w:b/>
          <w:sz w:val="22"/>
        </w:rPr>
        <w:t>Proposal 1: The switching gap for FDD to SDL transition can be configured at the switch-from carrier (i.e., FDD).</w:t>
      </w:r>
    </w:p>
    <w:p w14:paraId="4B13C27E" w14:textId="4707DD69" w:rsidR="009D4E01" w:rsidRPr="009D4E01" w:rsidRDefault="009D4E01" w:rsidP="009D4E01">
      <w:pPr>
        <w:pStyle w:val="af6"/>
        <w:spacing w:after="0" w:line="360" w:lineRule="auto"/>
        <w:jc w:val="both"/>
        <w:rPr>
          <w:b/>
          <w:sz w:val="22"/>
        </w:rPr>
      </w:pPr>
      <w:r w:rsidRPr="009D4E01">
        <w:rPr>
          <w:b/>
          <w:sz w:val="22"/>
        </w:rPr>
        <w:t>Proposal 2: Switching between FDD and SDL carriers may be configured to ensure that each carrier duration continues for a reasonable number of consecutive slots.</w:t>
      </w:r>
    </w:p>
    <w:p w14:paraId="027A61D0" w14:textId="501936BC" w:rsidR="009D4E01" w:rsidRPr="009D4E01" w:rsidRDefault="009D4E01" w:rsidP="009D4E01">
      <w:pPr>
        <w:pStyle w:val="af6"/>
        <w:spacing w:after="0" w:line="360" w:lineRule="auto"/>
        <w:jc w:val="both"/>
        <w:rPr>
          <w:b/>
          <w:sz w:val="22"/>
        </w:rPr>
      </w:pPr>
      <w:r w:rsidRPr="009D4E01">
        <w:rPr>
          <w:b/>
          <w:sz w:val="22"/>
        </w:rPr>
        <w:t>Proposal 3: Collisions between the switching gap and physical signals or channels can be avoided by the network through scheduling. The UE may drop a signal only if it overlaps with the switching gap and belongs to a predefined list of periodic or semi-static resources.</w:t>
      </w:r>
    </w:p>
    <w:bookmarkEnd w:id="4"/>
    <w:bookmarkEnd w:id="5"/>
    <w:p w14:paraId="64099BEB" w14:textId="60268D24" w:rsidR="002F77EB" w:rsidRPr="00D16897" w:rsidRDefault="00E523F3" w:rsidP="008D0DF4">
      <w:pPr>
        <w:pStyle w:val="1"/>
        <w:spacing w:before="480"/>
        <w:jc w:val="both"/>
        <w:rPr>
          <w:sz w:val="28"/>
          <w:lang w:val="en-US"/>
        </w:rPr>
      </w:pPr>
      <w:r w:rsidRPr="00D16897">
        <w:rPr>
          <w:sz w:val="28"/>
          <w:lang w:val="en-US"/>
        </w:rPr>
        <w:t>References</w:t>
      </w:r>
      <w:bookmarkStart w:id="7" w:name="_Ref457730460"/>
      <w:bookmarkStart w:id="8" w:name="_Ref450735844"/>
      <w:bookmarkStart w:id="9" w:name="_Ref450342757"/>
      <w:r w:rsidR="002F77EB" w:rsidRPr="00D16897">
        <w:rPr>
          <w:rFonts w:hint="eastAsia"/>
          <w:sz w:val="28"/>
        </w:rPr>
        <w:tab/>
      </w:r>
    </w:p>
    <w:bookmarkEnd w:id="7"/>
    <w:bookmarkEnd w:id="8"/>
    <w:bookmarkEnd w:id="9"/>
    <w:p w14:paraId="69CA4689" w14:textId="5D9AF7B5" w:rsidR="00F77AF5" w:rsidRPr="00D16897" w:rsidRDefault="00F77AF5" w:rsidP="00F77AF5">
      <w:pPr>
        <w:pStyle w:val="af3"/>
        <w:numPr>
          <w:ilvl w:val="0"/>
          <w:numId w:val="2"/>
        </w:numPr>
        <w:rPr>
          <w:rFonts w:ascii="Times New Roman" w:eastAsia="바탕" w:hAnsi="Times New Roman"/>
          <w:bCs/>
          <w:szCs w:val="20"/>
        </w:rPr>
      </w:pPr>
      <w:r w:rsidRPr="00D16897">
        <w:rPr>
          <w:rFonts w:ascii="Times New Roman" w:eastAsia="바탕" w:hAnsi="Times New Roman"/>
          <w:bCs/>
          <w:szCs w:val="20"/>
        </w:rPr>
        <w:t>Chairman’s notes, RAN1#1</w:t>
      </w:r>
      <w:r w:rsidR="00D33648">
        <w:rPr>
          <w:rFonts w:ascii="Times New Roman" w:eastAsia="바탕" w:hAnsi="Times New Roman"/>
          <w:bCs/>
          <w:szCs w:val="20"/>
        </w:rPr>
        <w:t>20bis</w:t>
      </w:r>
      <w:r w:rsidRPr="00D16897">
        <w:rPr>
          <w:rFonts w:ascii="Times New Roman" w:eastAsia="바탕" w:hAnsi="Times New Roman"/>
          <w:bCs/>
          <w:szCs w:val="20"/>
        </w:rPr>
        <w:t xml:space="preserve">, </w:t>
      </w:r>
      <w:r w:rsidR="00D33648">
        <w:rPr>
          <w:rFonts w:ascii="Times New Roman" w:eastAsia="바탕" w:hAnsi="Times New Roman"/>
          <w:bCs/>
          <w:szCs w:val="20"/>
          <w:lang w:eastAsia="ko-KR"/>
        </w:rPr>
        <w:t>April</w:t>
      </w:r>
      <w:r w:rsidRPr="00D16897">
        <w:rPr>
          <w:rFonts w:ascii="Times New Roman" w:eastAsia="바탕" w:hAnsi="Times New Roman"/>
          <w:bCs/>
          <w:szCs w:val="20"/>
        </w:rPr>
        <w:t xml:space="preserve"> </w:t>
      </w:r>
      <w:r w:rsidR="00D33648">
        <w:rPr>
          <w:rFonts w:ascii="Times New Roman" w:eastAsia="바탕" w:hAnsi="Times New Roman"/>
          <w:bCs/>
          <w:szCs w:val="20"/>
        </w:rPr>
        <w:t>7</w:t>
      </w:r>
      <w:r w:rsidRPr="00D16897">
        <w:rPr>
          <w:rFonts w:ascii="Times New Roman" w:eastAsia="바탕" w:hAnsi="Times New Roman"/>
          <w:bCs/>
          <w:szCs w:val="20"/>
        </w:rPr>
        <w:t xml:space="preserve"> </w:t>
      </w:r>
      <w:r w:rsidRPr="00D16897">
        <w:rPr>
          <w:rFonts w:ascii="Times New Roman" w:eastAsia="바탕" w:hAnsi="Times New Roman" w:hint="eastAsia"/>
          <w:bCs/>
          <w:szCs w:val="20"/>
        </w:rPr>
        <w:t>-</w:t>
      </w:r>
      <w:r w:rsidRPr="00D16897">
        <w:rPr>
          <w:rFonts w:ascii="Times New Roman" w:eastAsia="바탕" w:hAnsi="Times New Roman"/>
          <w:bCs/>
          <w:szCs w:val="20"/>
        </w:rPr>
        <w:t xml:space="preserve"> </w:t>
      </w:r>
      <w:r w:rsidR="00D33648">
        <w:rPr>
          <w:rFonts w:ascii="Times New Roman" w:eastAsia="바탕" w:hAnsi="Times New Roman"/>
          <w:bCs/>
          <w:szCs w:val="20"/>
        </w:rPr>
        <w:t>11</w:t>
      </w:r>
      <w:r w:rsidRPr="00D16897">
        <w:rPr>
          <w:rFonts w:ascii="Times New Roman" w:eastAsia="바탕" w:hAnsi="Times New Roman"/>
          <w:bCs/>
          <w:szCs w:val="20"/>
        </w:rPr>
        <w:t>, 202</w:t>
      </w:r>
      <w:r w:rsidR="00D33648">
        <w:rPr>
          <w:rFonts w:ascii="Times New Roman" w:eastAsia="바탕" w:hAnsi="Times New Roman"/>
          <w:bCs/>
          <w:szCs w:val="20"/>
        </w:rPr>
        <w:t>5</w:t>
      </w:r>
      <w:r w:rsidRPr="00D16897">
        <w:rPr>
          <w:rFonts w:ascii="Times New Roman" w:eastAsia="바탕" w:hAnsi="Times New Roman"/>
          <w:bCs/>
          <w:szCs w:val="20"/>
        </w:rPr>
        <w:t>.</w:t>
      </w:r>
    </w:p>
    <w:p w14:paraId="42C1502E" w14:textId="05BD794C" w:rsidR="00EC68D1" w:rsidRDefault="00DF6E6B" w:rsidP="00EC68D1">
      <w:pPr>
        <w:pStyle w:val="af3"/>
        <w:numPr>
          <w:ilvl w:val="0"/>
          <w:numId w:val="2"/>
        </w:numPr>
        <w:rPr>
          <w:rFonts w:ascii="Times New Roman" w:eastAsia="바탕" w:hAnsi="Times New Roman"/>
          <w:bCs/>
          <w:szCs w:val="20"/>
        </w:rPr>
      </w:pPr>
      <w:r w:rsidRPr="00D16897">
        <w:rPr>
          <w:rFonts w:ascii="Times New Roman" w:eastAsia="바탕" w:hAnsi="Times New Roman"/>
          <w:bCs/>
          <w:szCs w:val="20"/>
        </w:rPr>
        <w:t>R1-2</w:t>
      </w:r>
      <w:r w:rsidR="00B770C1">
        <w:rPr>
          <w:rFonts w:ascii="Times New Roman" w:eastAsia="바탕" w:hAnsi="Times New Roman"/>
          <w:bCs/>
          <w:szCs w:val="20"/>
        </w:rPr>
        <w:t>5</w:t>
      </w:r>
      <w:r w:rsidR="00581124">
        <w:rPr>
          <w:rFonts w:ascii="Times New Roman" w:eastAsia="바탕" w:hAnsi="Times New Roman"/>
          <w:bCs/>
          <w:szCs w:val="20"/>
        </w:rPr>
        <w:t>03110</w:t>
      </w:r>
      <w:r w:rsidR="00EC68D1" w:rsidRPr="00D16897">
        <w:rPr>
          <w:rFonts w:ascii="Times New Roman" w:eastAsia="바탕" w:hAnsi="Times New Roman"/>
          <w:bCs/>
          <w:szCs w:val="20"/>
        </w:rPr>
        <w:t xml:space="preserve">, </w:t>
      </w:r>
      <w:r w:rsidR="00CD75C7" w:rsidRPr="00D16897">
        <w:rPr>
          <w:rFonts w:ascii="Times New Roman" w:eastAsia="바탕" w:hAnsi="Times New Roman"/>
          <w:bCs/>
          <w:szCs w:val="20"/>
        </w:rPr>
        <w:t>“</w:t>
      </w:r>
      <w:r w:rsidR="00581124" w:rsidRPr="00581124">
        <w:rPr>
          <w:rFonts w:ascii="Times New Roman" w:eastAsia="바탕" w:hAnsi="Times New Roman"/>
          <w:bCs/>
          <w:szCs w:val="20"/>
        </w:rPr>
        <w:t>FL summary #4 of Low band carrier aggregation via switching</w:t>
      </w:r>
      <w:r w:rsidR="00581124">
        <w:rPr>
          <w:rFonts w:ascii="Times New Roman" w:eastAsia="바탕" w:hAnsi="Times New Roman"/>
          <w:bCs/>
          <w:szCs w:val="20"/>
        </w:rPr>
        <w:t>”,</w:t>
      </w:r>
      <w:r w:rsidR="00CD75C7" w:rsidRPr="00D16897">
        <w:rPr>
          <w:rFonts w:ascii="Times New Roman" w:eastAsia="바탕" w:hAnsi="Times New Roman"/>
          <w:bCs/>
          <w:szCs w:val="20"/>
        </w:rPr>
        <w:t xml:space="preserve"> </w:t>
      </w:r>
      <w:r w:rsidR="00581124">
        <w:rPr>
          <w:rFonts w:ascii="Times New Roman" w:eastAsia="바탕" w:hAnsi="Times New Roman"/>
          <w:bCs/>
          <w:szCs w:val="20"/>
        </w:rPr>
        <w:t>April</w:t>
      </w:r>
      <w:r w:rsidR="00CD75C7" w:rsidRPr="00D16897">
        <w:rPr>
          <w:rFonts w:ascii="Times New Roman" w:eastAsia="바탕" w:hAnsi="Times New Roman"/>
          <w:bCs/>
          <w:szCs w:val="20"/>
        </w:rPr>
        <w:t xml:space="preserve"> </w:t>
      </w:r>
      <w:r w:rsidR="00581124">
        <w:rPr>
          <w:rFonts w:ascii="Times New Roman" w:eastAsia="바탕" w:hAnsi="Times New Roman"/>
          <w:bCs/>
          <w:szCs w:val="20"/>
        </w:rPr>
        <w:t>7</w:t>
      </w:r>
      <w:r w:rsidR="00CD75C7" w:rsidRPr="00D16897">
        <w:rPr>
          <w:rFonts w:ascii="Times New Roman" w:eastAsia="바탕" w:hAnsi="Times New Roman"/>
          <w:bCs/>
          <w:szCs w:val="20"/>
        </w:rPr>
        <w:t xml:space="preserve"> </w:t>
      </w:r>
      <w:r w:rsidR="00CD75C7" w:rsidRPr="00D16897">
        <w:rPr>
          <w:rFonts w:ascii="Times New Roman" w:eastAsia="바탕" w:hAnsi="Times New Roman" w:hint="eastAsia"/>
          <w:bCs/>
          <w:szCs w:val="20"/>
        </w:rPr>
        <w:t>-</w:t>
      </w:r>
      <w:r w:rsidR="00CD75C7" w:rsidRPr="00D16897">
        <w:rPr>
          <w:rFonts w:ascii="Times New Roman" w:eastAsia="바탕" w:hAnsi="Times New Roman"/>
          <w:bCs/>
          <w:szCs w:val="20"/>
        </w:rPr>
        <w:t xml:space="preserve"> </w:t>
      </w:r>
      <w:r w:rsidR="00581124">
        <w:rPr>
          <w:rFonts w:ascii="Times New Roman" w:eastAsia="바탕" w:hAnsi="Times New Roman"/>
          <w:bCs/>
          <w:szCs w:val="20"/>
        </w:rPr>
        <w:t>11</w:t>
      </w:r>
      <w:r w:rsidR="00CD75C7" w:rsidRPr="00D16897">
        <w:rPr>
          <w:rFonts w:ascii="Times New Roman" w:eastAsia="바탕" w:hAnsi="Times New Roman"/>
          <w:bCs/>
          <w:szCs w:val="20"/>
        </w:rPr>
        <w:t>, 202</w:t>
      </w:r>
      <w:r w:rsidR="00581124">
        <w:rPr>
          <w:rFonts w:ascii="Times New Roman" w:eastAsia="바탕" w:hAnsi="Times New Roman"/>
          <w:bCs/>
          <w:szCs w:val="20"/>
        </w:rPr>
        <w:t>5</w:t>
      </w:r>
      <w:r w:rsidR="00EC68D1" w:rsidRPr="00D16897">
        <w:rPr>
          <w:rFonts w:ascii="Times New Roman" w:eastAsia="바탕" w:hAnsi="Times New Roman"/>
          <w:bCs/>
          <w:szCs w:val="20"/>
        </w:rPr>
        <w:t>.</w:t>
      </w:r>
    </w:p>
    <w:sectPr w:rsidR="00EC68D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C245F" w14:textId="77777777" w:rsidR="00CF18CF" w:rsidRDefault="00CF18CF">
      <w:r>
        <w:separator/>
      </w:r>
    </w:p>
  </w:endnote>
  <w:endnote w:type="continuationSeparator" w:id="0">
    <w:p w14:paraId="286B799C" w14:textId="77777777" w:rsidR="00CF18CF" w:rsidRDefault="00CF18CF">
      <w:r>
        <w:continuationSeparator/>
      </w:r>
    </w:p>
  </w:endnote>
  <w:endnote w:type="continuationNotice" w:id="1">
    <w:p w14:paraId="2E55830C" w14:textId="77777777" w:rsidR="00CF18CF" w:rsidRDefault="00CF18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25954" w:rsidRDefault="00C25954"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6881B58" w14:textId="77777777" w:rsidR="00C25954" w:rsidRDefault="00C25954"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48E6BAC" w:rsidR="00C25954" w:rsidRDefault="00C25954" w:rsidP="00450D3B">
    <w:pPr>
      <w:pStyle w:val="a9"/>
      <w:ind w:right="360"/>
    </w:pPr>
    <w:r>
      <w:rPr>
        <w:rStyle w:val="ae"/>
      </w:rPr>
      <w:fldChar w:fldCharType="begin"/>
    </w:r>
    <w:r>
      <w:rPr>
        <w:rStyle w:val="ae"/>
      </w:rPr>
      <w:instrText xml:space="preserve"> PAGE </w:instrText>
    </w:r>
    <w:r>
      <w:rPr>
        <w:rStyle w:val="ae"/>
      </w:rPr>
      <w:fldChar w:fldCharType="separate"/>
    </w:r>
    <w:r w:rsidR="00AC4FDA">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C4FDA">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80D69" w14:textId="77777777" w:rsidR="00CF18CF" w:rsidRDefault="00CF18CF">
      <w:r>
        <w:separator/>
      </w:r>
    </w:p>
  </w:footnote>
  <w:footnote w:type="continuationSeparator" w:id="0">
    <w:p w14:paraId="1F5E0A6E" w14:textId="77777777" w:rsidR="00CF18CF" w:rsidRDefault="00CF18CF">
      <w:r>
        <w:continuationSeparator/>
      </w:r>
    </w:p>
  </w:footnote>
  <w:footnote w:type="continuationNotice" w:id="1">
    <w:p w14:paraId="4EE67BFA" w14:textId="77777777" w:rsidR="00CF18CF" w:rsidRDefault="00CF18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25954" w:rsidRDefault="00C2595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4A257A0"/>
    <w:lvl w:ilvl="0">
      <w:start w:val="1"/>
      <w:numFmt w:val="decimal"/>
      <w:lvlText w:val="[%1]"/>
      <w:lvlJc w:val="left"/>
      <w:pPr>
        <w:tabs>
          <w:tab w:val="num" w:pos="567"/>
        </w:tabs>
        <w:ind w:left="567" w:hanging="567"/>
      </w:pPr>
      <w:rPr>
        <w:rFonts w:ascii="Times New Roman" w:hAnsi="Times New Roman" w:cs="Times New Roman" w:hint="default"/>
        <w:sz w:val="20"/>
        <w:lang w:val="en-GB"/>
      </w:rPr>
    </w:lvl>
  </w:abstractNum>
  <w:abstractNum w:abstractNumId="1" w15:restartNumberingAfterBreak="0">
    <w:nsid w:val="085C6F09"/>
    <w:multiLevelType w:val="multilevel"/>
    <w:tmpl w:val="04090025"/>
    <w:lvl w:ilvl="0">
      <w:start w:val="1"/>
      <w:numFmt w:val="decimal"/>
      <w:pStyle w:val="1"/>
      <w:lvlText w:val="%1"/>
      <w:lvlJc w:val="left"/>
      <w:pPr>
        <w:ind w:left="432" w:hanging="432"/>
      </w:pPr>
    </w:lvl>
    <w:lvl w:ilvl="1">
      <w:start w:val="1"/>
      <w:numFmt w:val="decimal"/>
      <w:lvlText w:val="%1.%2"/>
      <w:lvlJc w:val="left"/>
      <w:pPr>
        <w:ind w:left="114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4E067B"/>
    <w:multiLevelType w:val="hybridMultilevel"/>
    <w:tmpl w:val="89EC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C7C6B1D"/>
    <w:multiLevelType w:val="multilevel"/>
    <w:tmpl w:val="1C4C0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0"/>
  </w:num>
  <w:num w:numId="3">
    <w:abstractNumId w:val="1"/>
  </w:num>
  <w:num w:numId="4">
    <w:abstractNumId w:val="9"/>
  </w:num>
  <w:num w:numId="5">
    <w:abstractNumId w:val="7"/>
  </w:num>
  <w:num w:numId="6">
    <w:abstractNumId w:val="15"/>
  </w:num>
  <w:num w:numId="7">
    <w:abstractNumId w:val="21"/>
  </w:num>
  <w:num w:numId="8">
    <w:abstractNumId w:val="16"/>
  </w:num>
  <w:num w:numId="9">
    <w:abstractNumId w:val="13"/>
  </w:num>
  <w:num w:numId="10">
    <w:abstractNumId w:val="19"/>
  </w:num>
  <w:num w:numId="11">
    <w:abstractNumId w:val="12"/>
  </w:num>
  <w:num w:numId="12">
    <w:abstractNumId w:val="17"/>
  </w:num>
  <w:num w:numId="13">
    <w:abstractNumId w:val="14"/>
  </w:num>
  <w:num w:numId="14">
    <w:abstractNumId w:val="6"/>
  </w:num>
  <w:num w:numId="15">
    <w:abstractNumId w:val="10"/>
  </w:num>
  <w:num w:numId="16">
    <w:abstractNumId w:val="3"/>
  </w:num>
  <w:num w:numId="17">
    <w:abstractNumId w:val="3"/>
    <w:lvlOverride w:ilvl="0">
      <w:lvl w:ilvl="0">
        <w:start w:val="1"/>
        <w:numFmt w:val="bullet"/>
        <w:lvlText w:val=""/>
        <w:lvlJc w:val="left"/>
        <w:pPr>
          <w:ind w:left="1219" w:hanging="420"/>
        </w:pPr>
        <w:rPr>
          <w:rFonts w:ascii="Symbol" w:eastAsia="MS Mincho" w:hAnsi="Symbol" w:cs="Times New Roman" w:hint="default"/>
        </w:rPr>
      </w:lvl>
    </w:lvlOverride>
    <w:lvlOverride w:ilvl="1">
      <w:lvl w:ilvl="1">
        <w:start w:val="1"/>
        <w:numFmt w:val="bullet"/>
        <w:lvlText w:val="o"/>
        <w:lvlJc w:val="left"/>
        <w:pPr>
          <w:ind w:left="1639" w:hanging="420"/>
        </w:pPr>
        <w:rPr>
          <w:rFonts w:ascii="Courier New" w:hAnsi="Courier New" w:hint="default"/>
        </w:rPr>
      </w:lvl>
    </w:lvlOverride>
    <w:lvlOverride w:ilvl="2">
      <w:lvl w:ilvl="2">
        <w:numFmt w:val="bullet"/>
        <w:lvlText w:val="-"/>
        <w:lvlJc w:val="left"/>
        <w:pPr>
          <w:ind w:left="737" w:hanging="170"/>
        </w:pPr>
        <w:rPr>
          <w:rFonts w:ascii="Times" w:hAnsi="Times" w:hint="default"/>
        </w:rPr>
      </w:lvl>
    </w:lvlOverride>
    <w:lvlOverride w:ilvl="3">
      <w:lvl w:ilvl="3">
        <w:start w:val="1"/>
        <w:numFmt w:val="bullet"/>
        <w:lvlText w:val=""/>
        <w:lvlJc w:val="left"/>
        <w:pPr>
          <w:ind w:left="2479" w:hanging="420"/>
        </w:pPr>
        <w:rPr>
          <w:rFonts w:ascii="Wingdings" w:hAnsi="Wingdings" w:hint="default"/>
        </w:rPr>
      </w:lvl>
    </w:lvlOverride>
    <w:lvlOverride w:ilvl="4">
      <w:lvl w:ilvl="4">
        <w:start w:val="1"/>
        <w:numFmt w:val="bullet"/>
        <w:lvlText w:val=""/>
        <w:lvlJc w:val="left"/>
        <w:pPr>
          <w:ind w:left="2899" w:hanging="420"/>
        </w:pPr>
        <w:rPr>
          <w:rFonts w:ascii="Wingdings" w:hAnsi="Wingdings" w:hint="default"/>
        </w:rPr>
      </w:lvl>
    </w:lvlOverride>
    <w:lvlOverride w:ilvl="5">
      <w:lvl w:ilvl="5">
        <w:start w:val="1"/>
        <w:numFmt w:val="bullet"/>
        <w:lvlText w:val=""/>
        <w:lvlJc w:val="left"/>
        <w:pPr>
          <w:ind w:left="3319" w:hanging="420"/>
        </w:pPr>
        <w:rPr>
          <w:rFonts w:ascii="Wingdings" w:hAnsi="Wingdings" w:hint="default"/>
        </w:rPr>
      </w:lvl>
    </w:lvlOverride>
    <w:lvlOverride w:ilvl="6">
      <w:lvl w:ilvl="6">
        <w:start w:val="1"/>
        <w:numFmt w:val="bullet"/>
        <w:lvlText w:val=""/>
        <w:lvlJc w:val="left"/>
        <w:pPr>
          <w:ind w:left="3739" w:hanging="420"/>
        </w:pPr>
        <w:rPr>
          <w:rFonts w:ascii="Wingdings" w:hAnsi="Wingdings" w:hint="default"/>
        </w:rPr>
      </w:lvl>
    </w:lvlOverride>
    <w:lvlOverride w:ilvl="7">
      <w:lvl w:ilvl="7">
        <w:start w:val="1"/>
        <w:numFmt w:val="bullet"/>
        <w:lvlText w:val=""/>
        <w:lvlJc w:val="left"/>
        <w:pPr>
          <w:ind w:left="4159" w:hanging="420"/>
        </w:pPr>
        <w:rPr>
          <w:rFonts w:ascii="Wingdings" w:hAnsi="Wingdings" w:hint="default"/>
        </w:rPr>
      </w:lvl>
    </w:lvlOverride>
    <w:lvlOverride w:ilvl="8">
      <w:lvl w:ilvl="8">
        <w:start w:val="1"/>
        <w:numFmt w:val="bullet"/>
        <w:lvlText w:val=""/>
        <w:lvlJc w:val="left"/>
        <w:pPr>
          <w:ind w:left="4579" w:hanging="420"/>
        </w:pPr>
        <w:rPr>
          <w:rFonts w:ascii="Wingdings" w:hAnsi="Wingdings" w:hint="default"/>
        </w:rPr>
      </w:lvl>
    </w:lvlOverride>
  </w:num>
  <w:num w:numId="18">
    <w:abstractNumId w:val="3"/>
    <w:lvlOverride w:ilvl="0">
      <w:lvl w:ilvl="0">
        <w:start w:val="1"/>
        <w:numFmt w:val="bullet"/>
        <w:lvlText w:val=""/>
        <w:lvlJc w:val="left"/>
        <w:pPr>
          <w:ind w:left="1219" w:hanging="420"/>
        </w:pPr>
        <w:rPr>
          <w:rFonts w:ascii="Symbol" w:eastAsia="MS Mincho" w:hAnsi="Symbol" w:cs="Times New Roman" w:hint="default"/>
        </w:rPr>
      </w:lvl>
    </w:lvlOverride>
    <w:lvlOverride w:ilvl="1">
      <w:lvl w:ilvl="1">
        <w:start w:val="1"/>
        <w:numFmt w:val="bullet"/>
        <w:lvlText w:val="o"/>
        <w:lvlJc w:val="left"/>
        <w:pPr>
          <w:ind w:left="1639" w:hanging="420"/>
        </w:pPr>
        <w:rPr>
          <w:rFonts w:ascii="Courier New" w:hAnsi="Courier New" w:cs="Courier New" w:hint="default"/>
        </w:rPr>
      </w:lvl>
    </w:lvlOverride>
    <w:lvlOverride w:ilvl="2">
      <w:lvl w:ilvl="2">
        <w:numFmt w:val="bullet"/>
        <w:lvlText w:val="-"/>
        <w:lvlJc w:val="left"/>
        <w:pPr>
          <w:ind w:left="2059" w:hanging="420"/>
        </w:pPr>
        <w:rPr>
          <w:rFonts w:ascii="Times" w:eastAsia="바탕" w:hAnsi="Times" w:cs="Times" w:hint="default"/>
        </w:rPr>
      </w:lvl>
    </w:lvlOverride>
    <w:lvlOverride w:ilvl="3">
      <w:lvl w:ilvl="3">
        <w:start w:val="1"/>
        <w:numFmt w:val="bullet"/>
        <w:lvlText w:val=""/>
        <w:lvlJc w:val="left"/>
        <w:pPr>
          <w:ind w:left="964" w:hanging="227"/>
        </w:pPr>
        <w:rPr>
          <w:rFonts w:ascii="Wingdings" w:hAnsi="Wingdings" w:hint="default"/>
        </w:rPr>
      </w:lvl>
    </w:lvlOverride>
    <w:lvlOverride w:ilvl="4">
      <w:lvl w:ilvl="4">
        <w:start w:val="1"/>
        <w:numFmt w:val="bullet"/>
        <w:lvlText w:val=""/>
        <w:lvlJc w:val="left"/>
        <w:pPr>
          <w:ind w:left="2899" w:hanging="420"/>
        </w:pPr>
        <w:rPr>
          <w:rFonts w:ascii="Wingdings" w:hAnsi="Wingdings" w:hint="default"/>
        </w:rPr>
      </w:lvl>
    </w:lvlOverride>
    <w:lvlOverride w:ilvl="5">
      <w:lvl w:ilvl="5">
        <w:start w:val="1"/>
        <w:numFmt w:val="bullet"/>
        <w:lvlText w:val=""/>
        <w:lvlJc w:val="left"/>
        <w:pPr>
          <w:ind w:left="3319" w:hanging="420"/>
        </w:pPr>
        <w:rPr>
          <w:rFonts w:ascii="Wingdings" w:hAnsi="Wingdings" w:hint="default"/>
        </w:rPr>
      </w:lvl>
    </w:lvlOverride>
    <w:lvlOverride w:ilvl="6">
      <w:lvl w:ilvl="6">
        <w:start w:val="1"/>
        <w:numFmt w:val="bullet"/>
        <w:lvlText w:val=""/>
        <w:lvlJc w:val="left"/>
        <w:pPr>
          <w:ind w:left="3739" w:hanging="420"/>
        </w:pPr>
        <w:rPr>
          <w:rFonts w:ascii="Wingdings" w:hAnsi="Wingdings" w:hint="default"/>
        </w:rPr>
      </w:lvl>
    </w:lvlOverride>
    <w:lvlOverride w:ilvl="7">
      <w:lvl w:ilvl="7">
        <w:start w:val="1"/>
        <w:numFmt w:val="bullet"/>
        <w:lvlText w:val=""/>
        <w:lvlJc w:val="left"/>
        <w:pPr>
          <w:ind w:left="4159" w:hanging="420"/>
        </w:pPr>
        <w:rPr>
          <w:rFonts w:ascii="Wingdings" w:hAnsi="Wingdings" w:hint="default"/>
        </w:rPr>
      </w:lvl>
    </w:lvlOverride>
    <w:lvlOverride w:ilvl="8">
      <w:lvl w:ilvl="8">
        <w:start w:val="1"/>
        <w:numFmt w:val="bullet"/>
        <w:lvlText w:val=""/>
        <w:lvlJc w:val="left"/>
        <w:pPr>
          <w:ind w:left="4579" w:hanging="420"/>
        </w:pPr>
        <w:rPr>
          <w:rFonts w:ascii="Wingdings" w:hAnsi="Wingdings" w:hint="default"/>
        </w:rPr>
      </w:lvl>
    </w:lvlOverride>
  </w:num>
  <w:num w:numId="19">
    <w:abstractNumId w:val="3"/>
    <w:lvlOverride w:ilvl="0">
      <w:lvl w:ilvl="0">
        <w:start w:val="1"/>
        <w:numFmt w:val="bullet"/>
        <w:lvlText w:val=""/>
        <w:lvlJc w:val="left"/>
        <w:pPr>
          <w:ind w:left="1219" w:hanging="420"/>
        </w:pPr>
        <w:rPr>
          <w:rFonts w:ascii="Symbol" w:eastAsia="MS Mincho" w:hAnsi="Symbol" w:cs="Times New Roman" w:hint="default"/>
        </w:rPr>
      </w:lvl>
    </w:lvlOverride>
    <w:lvlOverride w:ilvl="1">
      <w:lvl w:ilvl="1">
        <w:start w:val="1"/>
        <w:numFmt w:val="bullet"/>
        <w:lvlText w:val="o"/>
        <w:lvlJc w:val="left"/>
        <w:pPr>
          <w:ind w:left="1639" w:hanging="420"/>
        </w:pPr>
        <w:rPr>
          <w:rFonts w:ascii="Courier New" w:hAnsi="Courier New" w:cs="Courier New" w:hint="default"/>
        </w:rPr>
      </w:lvl>
    </w:lvlOverride>
    <w:lvlOverride w:ilvl="2">
      <w:lvl w:ilvl="2">
        <w:numFmt w:val="bullet"/>
        <w:lvlText w:val="-"/>
        <w:lvlJc w:val="left"/>
        <w:pPr>
          <w:ind w:left="2059" w:hanging="420"/>
        </w:pPr>
        <w:rPr>
          <w:rFonts w:ascii="Times" w:eastAsia="바탕" w:hAnsi="Times" w:cs="Times" w:hint="default"/>
        </w:rPr>
      </w:lvl>
    </w:lvlOverride>
    <w:lvlOverride w:ilvl="3">
      <w:lvl w:ilvl="3">
        <w:start w:val="1"/>
        <w:numFmt w:val="bullet"/>
        <w:lvlText w:val=""/>
        <w:lvlJc w:val="left"/>
        <w:pPr>
          <w:ind w:left="2479" w:hanging="420"/>
        </w:pPr>
        <w:rPr>
          <w:rFonts w:ascii="Wingdings" w:hAnsi="Wingdings" w:hint="default"/>
        </w:rPr>
      </w:lvl>
    </w:lvlOverride>
    <w:lvlOverride w:ilvl="4">
      <w:lvl w:ilvl="4">
        <w:start w:val="1"/>
        <w:numFmt w:val="bullet"/>
        <w:lvlText w:val=""/>
        <w:lvlJc w:val="left"/>
        <w:pPr>
          <w:ind w:left="1191" w:hanging="170"/>
        </w:pPr>
        <w:rPr>
          <w:rFonts w:ascii="Wingdings" w:hAnsi="Wingdings" w:hint="default"/>
        </w:rPr>
      </w:lvl>
    </w:lvlOverride>
    <w:lvlOverride w:ilvl="5">
      <w:lvl w:ilvl="5">
        <w:start w:val="1"/>
        <w:numFmt w:val="bullet"/>
        <w:lvlText w:val=""/>
        <w:lvlJc w:val="left"/>
        <w:pPr>
          <w:ind w:left="3319" w:hanging="420"/>
        </w:pPr>
        <w:rPr>
          <w:rFonts w:ascii="Wingdings" w:hAnsi="Wingdings" w:hint="default"/>
        </w:rPr>
      </w:lvl>
    </w:lvlOverride>
    <w:lvlOverride w:ilvl="6">
      <w:lvl w:ilvl="6">
        <w:start w:val="1"/>
        <w:numFmt w:val="bullet"/>
        <w:lvlText w:val=""/>
        <w:lvlJc w:val="left"/>
        <w:pPr>
          <w:ind w:left="3739" w:hanging="420"/>
        </w:pPr>
        <w:rPr>
          <w:rFonts w:ascii="Wingdings" w:hAnsi="Wingdings" w:hint="default"/>
        </w:rPr>
      </w:lvl>
    </w:lvlOverride>
    <w:lvlOverride w:ilvl="7">
      <w:lvl w:ilvl="7">
        <w:start w:val="1"/>
        <w:numFmt w:val="bullet"/>
        <w:lvlText w:val=""/>
        <w:lvlJc w:val="left"/>
        <w:pPr>
          <w:ind w:left="4159" w:hanging="420"/>
        </w:pPr>
        <w:rPr>
          <w:rFonts w:ascii="Wingdings" w:hAnsi="Wingdings" w:hint="default"/>
        </w:rPr>
      </w:lvl>
    </w:lvlOverride>
    <w:lvlOverride w:ilvl="8">
      <w:lvl w:ilvl="8">
        <w:start w:val="1"/>
        <w:numFmt w:val="bullet"/>
        <w:lvlText w:val=""/>
        <w:lvlJc w:val="left"/>
        <w:pPr>
          <w:ind w:left="4579" w:hanging="420"/>
        </w:pPr>
        <w:rPr>
          <w:rFonts w:ascii="Wingdings" w:hAnsi="Wingdings" w:hint="default"/>
        </w:rPr>
      </w:lvl>
    </w:lvlOverride>
  </w:num>
  <w:num w:numId="20">
    <w:abstractNumId w:val="11"/>
  </w:num>
  <w:num w:numId="21">
    <w:abstractNumId w:val="8"/>
  </w:num>
  <w:num w:numId="22">
    <w:abstractNumId w:val="2"/>
  </w:num>
  <w:num w:numId="23">
    <w:abstractNumId w:val="4"/>
  </w:num>
  <w:num w:numId="24">
    <w:abstractNumId w:val="18"/>
  </w:num>
  <w:num w:numId="25">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ko-K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E"/>
    <w:rsid w:val="00001F79"/>
    <w:rsid w:val="00001FC3"/>
    <w:rsid w:val="00001FCA"/>
    <w:rsid w:val="000020B2"/>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07D3B"/>
    <w:rsid w:val="000100B6"/>
    <w:rsid w:val="000101EF"/>
    <w:rsid w:val="00010625"/>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36"/>
    <w:rsid w:val="00016CF6"/>
    <w:rsid w:val="00016DCE"/>
    <w:rsid w:val="00017309"/>
    <w:rsid w:val="0002002A"/>
    <w:rsid w:val="000200E0"/>
    <w:rsid w:val="000205C1"/>
    <w:rsid w:val="00020659"/>
    <w:rsid w:val="0002085F"/>
    <w:rsid w:val="000209D8"/>
    <w:rsid w:val="00020D61"/>
    <w:rsid w:val="00021001"/>
    <w:rsid w:val="00021110"/>
    <w:rsid w:val="0002113C"/>
    <w:rsid w:val="0002130A"/>
    <w:rsid w:val="00021911"/>
    <w:rsid w:val="00021C67"/>
    <w:rsid w:val="00021DEC"/>
    <w:rsid w:val="00021E76"/>
    <w:rsid w:val="00021F8B"/>
    <w:rsid w:val="000221EB"/>
    <w:rsid w:val="000222F7"/>
    <w:rsid w:val="000233F4"/>
    <w:rsid w:val="00023C29"/>
    <w:rsid w:val="00023EC9"/>
    <w:rsid w:val="000248D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057"/>
    <w:rsid w:val="000266AE"/>
    <w:rsid w:val="00026905"/>
    <w:rsid w:val="00026977"/>
    <w:rsid w:val="00026B7D"/>
    <w:rsid w:val="00026C64"/>
    <w:rsid w:val="00026EA3"/>
    <w:rsid w:val="00026EF9"/>
    <w:rsid w:val="00027333"/>
    <w:rsid w:val="000273DF"/>
    <w:rsid w:val="00027558"/>
    <w:rsid w:val="00027E95"/>
    <w:rsid w:val="000300FE"/>
    <w:rsid w:val="00030619"/>
    <w:rsid w:val="0003063A"/>
    <w:rsid w:val="00030713"/>
    <w:rsid w:val="000307C6"/>
    <w:rsid w:val="00030F4D"/>
    <w:rsid w:val="00030F74"/>
    <w:rsid w:val="00030F85"/>
    <w:rsid w:val="000312B4"/>
    <w:rsid w:val="0003134F"/>
    <w:rsid w:val="000317B2"/>
    <w:rsid w:val="000319E1"/>
    <w:rsid w:val="00031E1B"/>
    <w:rsid w:val="00031EDD"/>
    <w:rsid w:val="000321DC"/>
    <w:rsid w:val="000325EF"/>
    <w:rsid w:val="00032A0C"/>
    <w:rsid w:val="000336BA"/>
    <w:rsid w:val="00033EC5"/>
    <w:rsid w:val="00034561"/>
    <w:rsid w:val="00034882"/>
    <w:rsid w:val="000349B7"/>
    <w:rsid w:val="00034BAD"/>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21"/>
    <w:rsid w:val="000370B4"/>
    <w:rsid w:val="0003723F"/>
    <w:rsid w:val="000377E3"/>
    <w:rsid w:val="00037A21"/>
    <w:rsid w:val="00037C2D"/>
    <w:rsid w:val="00037F49"/>
    <w:rsid w:val="000402B6"/>
    <w:rsid w:val="00040368"/>
    <w:rsid w:val="000404F2"/>
    <w:rsid w:val="00040AAD"/>
    <w:rsid w:val="00040C15"/>
    <w:rsid w:val="00041386"/>
    <w:rsid w:val="000413B8"/>
    <w:rsid w:val="0004144D"/>
    <w:rsid w:val="000416DE"/>
    <w:rsid w:val="0004182E"/>
    <w:rsid w:val="000418C8"/>
    <w:rsid w:val="0004198E"/>
    <w:rsid w:val="00041D52"/>
    <w:rsid w:val="00041EC3"/>
    <w:rsid w:val="000422CD"/>
    <w:rsid w:val="000426AA"/>
    <w:rsid w:val="000426BC"/>
    <w:rsid w:val="000429E5"/>
    <w:rsid w:val="00042BFC"/>
    <w:rsid w:val="00042D17"/>
    <w:rsid w:val="00043049"/>
    <w:rsid w:val="000430CF"/>
    <w:rsid w:val="000431B8"/>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11"/>
    <w:rsid w:val="00047CD8"/>
    <w:rsid w:val="00047D9C"/>
    <w:rsid w:val="00047F14"/>
    <w:rsid w:val="00050070"/>
    <w:rsid w:val="00050335"/>
    <w:rsid w:val="0005055B"/>
    <w:rsid w:val="000505E0"/>
    <w:rsid w:val="00050974"/>
    <w:rsid w:val="00051135"/>
    <w:rsid w:val="000515F7"/>
    <w:rsid w:val="00051682"/>
    <w:rsid w:val="0005201C"/>
    <w:rsid w:val="0005241E"/>
    <w:rsid w:val="0005291A"/>
    <w:rsid w:val="00052AE3"/>
    <w:rsid w:val="00052D97"/>
    <w:rsid w:val="00053016"/>
    <w:rsid w:val="000531A8"/>
    <w:rsid w:val="000531E3"/>
    <w:rsid w:val="000532C1"/>
    <w:rsid w:val="00053849"/>
    <w:rsid w:val="00053A47"/>
    <w:rsid w:val="00053CD7"/>
    <w:rsid w:val="000540C2"/>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59"/>
    <w:rsid w:val="000572A7"/>
    <w:rsid w:val="00057388"/>
    <w:rsid w:val="0005755D"/>
    <w:rsid w:val="00057DF9"/>
    <w:rsid w:val="00057E17"/>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A"/>
    <w:rsid w:val="00062802"/>
    <w:rsid w:val="00062B51"/>
    <w:rsid w:val="00062D9A"/>
    <w:rsid w:val="00062FBA"/>
    <w:rsid w:val="00062FDE"/>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0E4A"/>
    <w:rsid w:val="0007118F"/>
    <w:rsid w:val="000714BA"/>
    <w:rsid w:val="000715CE"/>
    <w:rsid w:val="0007162A"/>
    <w:rsid w:val="000716E3"/>
    <w:rsid w:val="000716FB"/>
    <w:rsid w:val="00071740"/>
    <w:rsid w:val="000719A2"/>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68C"/>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6F60"/>
    <w:rsid w:val="00077073"/>
    <w:rsid w:val="0007715B"/>
    <w:rsid w:val="00077A69"/>
    <w:rsid w:val="0008022A"/>
    <w:rsid w:val="00080418"/>
    <w:rsid w:val="000805B2"/>
    <w:rsid w:val="00080CFF"/>
    <w:rsid w:val="00080D74"/>
    <w:rsid w:val="00080D81"/>
    <w:rsid w:val="00081383"/>
    <w:rsid w:val="00081A56"/>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0B5"/>
    <w:rsid w:val="00085239"/>
    <w:rsid w:val="00085F08"/>
    <w:rsid w:val="000862BA"/>
    <w:rsid w:val="000862F6"/>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201"/>
    <w:rsid w:val="000963A3"/>
    <w:rsid w:val="0009653B"/>
    <w:rsid w:val="000968D8"/>
    <w:rsid w:val="0009709B"/>
    <w:rsid w:val="000970D0"/>
    <w:rsid w:val="0009720E"/>
    <w:rsid w:val="0009745A"/>
    <w:rsid w:val="00097567"/>
    <w:rsid w:val="000979F0"/>
    <w:rsid w:val="00097AE8"/>
    <w:rsid w:val="000A0062"/>
    <w:rsid w:val="000A02DC"/>
    <w:rsid w:val="000A0615"/>
    <w:rsid w:val="000A09A2"/>
    <w:rsid w:val="000A0A15"/>
    <w:rsid w:val="000A0CA1"/>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44"/>
    <w:rsid w:val="000A6498"/>
    <w:rsid w:val="000A64D8"/>
    <w:rsid w:val="000A6723"/>
    <w:rsid w:val="000A6788"/>
    <w:rsid w:val="000A68A9"/>
    <w:rsid w:val="000A6AC6"/>
    <w:rsid w:val="000A6CFE"/>
    <w:rsid w:val="000A6F04"/>
    <w:rsid w:val="000A6F12"/>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689"/>
    <w:rsid w:val="000B38DA"/>
    <w:rsid w:val="000B3F37"/>
    <w:rsid w:val="000B40C8"/>
    <w:rsid w:val="000B4788"/>
    <w:rsid w:val="000B49D7"/>
    <w:rsid w:val="000B4FD5"/>
    <w:rsid w:val="000B546F"/>
    <w:rsid w:val="000B5E79"/>
    <w:rsid w:val="000B6030"/>
    <w:rsid w:val="000B65BE"/>
    <w:rsid w:val="000B68D5"/>
    <w:rsid w:val="000B6A57"/>
    <w:rsid w:val="000B6A84"/>
    <w:rsid w:val="000B6BDF"/>
    <w:rsid w:val="000B6F48"/>
    <w:rsid w:val="000B71B6"/>
    <w:rsid w:val="000B7B2B"/>
    <w:rsid w:val="000B7D5E"/>
    <w:rsid w:val="000B7DF1"/>
    <w:rsid w:val="000B7E16"/>
    <w:rsid w:val="000C04DF"/>
    <w:rsid w:val="000C0939"/>
    <w:rsid w:val="000C133A"/>
    <w:rsid w:val="000C1545"/>
    <w:rsid w:val="000C1737"/>
    <w:rsid w:val="000C1DBD"/>
    <w:rsid w:val="000C1F13"/>
    <w:rsid w:val="000C2177"/>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35A"/>
    <w:rsid w:val="000D148D"/>
    <w:rsid w:val="000D14EB"/>
    <w:rsid w:val="000D1610"/>
    <w:rsid w:val="000D1835"/>
    <w:rsid w:val="000D18B2"/>
    <w:rsid w:val="000D1B60"/>
    <w:rsid w:val="000D206C"/>
    <w:rsid w:val="000D2080"/>
    <w:rsid w:val="000D2185"/>
    <w:rsid w:val="000D2AE0"/>
    <w:rsid w:val="000D2CDA"/>
    <w:rsid w:val="000D3035"/>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C22"/>
    <w:rsid w:val="000D5E4D"/>
    <w:rsid w:val="000D6207"/>
    <w:rsid w:val="000D62A7"/>
    <w:rsid w:val="000D6E27"/>
    <w:rsid w:val="000D6E96"/>
    <w:rsid w:val="000D7268"/>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340"/>
    <w:rsid w:val="000E442A"/>
    <w:rsid w:val="000E4C9B"/>
    <w:rsid w:val="000E4D01"/>
    <w:rsid w:val="000E52BF"/>
    <w:rsid w:val="000E5830"/>
    <w:rsid w:val="000E5A2C"/>
    <w:rsid w:val="000E5BC8"/>
    <w:rsid w:val="000E5C4E"/>
    <w:rsid w:val="000E5CA5"/>
    <w:rsid w:val="000E5E3A"/>
    <w:rsid w:val="000E6576"/>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DF9"/>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97"/>
    <w:rsid w:val="00102DFE"/>
    <w:rsid w:val="00102E56"/>
    <w:rsid w:val="00102E9A"/>
    <w:rsid w:val="0010308D"/>
    <w:rsid w:val="00103459"/>
    <w:rsid w:val="00103658"/>
    <w:rsid w:val="0010366C"/>
    <w:rsid w:val="00103DB3"/>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297"/>
    <w:rsid w:val="001077A1"/>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2E4"/>
    <w:rsid w:val="001134DA"/>
    <w:rsid w:val="0011372B"/>
    <w:rsid w:val="00113D57"/>
    <w:rsid w:val="00113D8F"/>
    <w:rsid w:val="00113FDA"/>
    <w:rsid w:val="001140FA"/>
    <w:rsid w:val="001141CF"/>
    <w:rsid w:val="00114379"/>
    <w:rsid w:val="001146A3"/>
    <w:rsid w:val="001146C6"/>
    <w:rsid w:val="001147B8"/>
    <w:rsid w:val="00114803"/>
    <w:rsid w:val="00114949"/>
    <w:rsid w:val="00114E61"/>
    <w:rsid w:val="00114EA7"/>
    <w:rsid w:val="001151D8"/>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957"/>
    <w:rsid w:val="00117C78"/>
    <w:rsid w:val="001201EA"/>
    <w:rsid w:val="001203DB"/>
    <w:rsid w:val="001205B4"/>
    <w:rsid w:val="0012079F"/>
    <w:rsid w:val="001207F3"/>
    <w:rsid w:val="00120C13"/>
    <w:rsid w:val="00121050"/>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B1E"/>
    <w:rsid w:val="00127096"/>
    <w:rsid w:val="0012728A"/>
    <w:rsid w:val="001274AC"/>
    <w:rsid w:val="001275E6"/>
    <w:rsid w:val="001278E5"/>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3AC"/>
    <w:rsid w:val="00136998"/>
    <w:rsid w:val="00136AAD"/>
    <w:rsid w:val="00137280"/>
    <w:rsid w:val="00137288"/>
    <w:rsid w:val="00137480"/>
    <w:rsid w:val="001375B9"/>
    <w:rsid w:val="001376F7"/>
    <w:rsid w:val="00137E22"/>
    <w:rsid w:val="00137EA0"/>
    <w:rsid w:val="001403AD"/>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3EA"/>
    <w:rsid w:val="0014371C"/>
    <w:rsid w:val="00143CB7"/>
    <w:rsid w:val="00143EFE"/>
    <w:rsid w:val="00143FFE"/>
    <w:rsid w:val="00144317"/>
    <w:rsid w:val="00144320"/>
    <w:rsid w:val="001444D8"/>
    <w:rsid w:val="0014471E"/>
    <w:rsid w:val="0014491B"/>
    <w:rsid w:val="00144B3F"/>
    <w:rsid w:val="00144D67"/>
    <w:rsid w:val="00144E04"/>
    <w:rsid w:val="00144E2A"/>
    <w:rsid w:val="001453DC"/>
    <w:rsid w:val="001454C4"/>
    <w:rsid w:val="00145883"/>
    <w:rsid w:val="00145A84"/>
    <w:rsid w:val="00145D2C"/>
    <w:rsid w:val="0014606D"/>
    <w:rsid w:val="001462D7"/>
    <w:rsid w:val="00146577"/>
    <w:rsid w:val="00146773"/>
    <w:rsid w:val="00146808"/>
    <w:rsid w:val="00146A8A"/>
    <w:rsid w:val="00146E8D"/>
    <w:rsid w:val="0014703E"/>
    <w:rsid w:val="00147D65"/>
    <w:rsid w:val="00147D91"/>
    <w:rsid w:val="001500E0"/>
    <w:rsid w:val="001508B7"/>
    <w:rsid w:val="001508E1"/>
    <w:rsid w:val="00150A99"/>
    <w:rsid w:val="00150F01"/>
    <w:rsid w:val="001510ED"/>
    <w:rsid w:val="0015113A"/>
    <w:rsid w:val="001517AB"/>
    <w:rsid w:val="00151805"/>
    <w:rsid w:val="00151897"/>
    <w:rsid w:val="00151B11"/>
    <w:rsid w:val="00151CF5"/>
    <w:rsid w:val="00151EA7"/>
    <w:rsid w:val="00152066"/>
    <w:rsid w:val="00152270"/>
    <w:rsid w:val="00152559"/>
    <w:rsid w:val="00152A3B"/>
    <w:rsid w:val="00152BB8"/>
    <w:rsid w:val="001530A2"/>
    <w:rsid w:val="001533C9"/>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B43"/>
    <w:rsid w:val="00157E6D"/>
    <w:rsid w:val="0016019C"/>
    <w:rsid w:val="001601C7"/>
    <w:rsid w:val="001601C9"/>
    <w:rsid w:val="001602C2"/>
    <w:rsid w:val="001603B9"/>
    <w:rsid w:val="001604C8"/>
    <w:rsid w:val="00160674"/>
    <w:rsid w:val="00160786"/>
    <w:rsid w:val="00160BEB"/>
    <w:rsid w:val="00161479"/>
    <w:rsid w:val="00161791"/>
    <w:rsid w:val="00161C51"/>
    <w:rsid w:val="00161EA5"/>
    <w:rsid w:val="001620A4"/>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338"/>
    <w:rsid w:val="00165B5E"/>
    <w:rsid w:val="00165C3C"/>
    <w:rsid w:val="00165D9A"/>
    <w:rsid w:val="0016634F"/>
    <w:rsid w:val="00166809"/>
    <w:rsid w:val="00166879"/>
    <w:rsid w:val="001669F9"/>
    <w:rsid w:val="00166D9E"/>
    <w:rsid w:val="00166EE2"/>
    <w:rsid w:val="0016700E"/>
    <w:rsid w:val="00167125"/>
    <w:rsid w:val="0016733C"/>
    <w:rsid w:val="0016764C"/>
    <w:rsid w:val="001677C8"/>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3A"/>
    <w:rsid w:val="0017283C"/>
    <w:rsid w:val="001729E1"/>
    <w:rsid w:val="00172B61"/>
    <w:rsid w:val="00172C20"/>
    <w:rsid w:val="001738A5"/>
    <w:rsid w:val="00173A00"/>
    <w:rsid w:val="00173A01"/>
    <w:rsid w:val="00173AC9"/>
    <w:rsid w:val="00173D38"/>
    <w:rsid w:val="00173FFE"/>
    <w:rsid w:val="00174CD6"/>
    <w:rsid w:val="00174DDB"/>
    <w:rsid w:val="00175009"/>
    <w:rsid w:val="001752EC"/>
    <w:rsid w:val="00175355"/>
    <w:rsid w:val="0017537A"/>
    <w:rsid w:val="00175A6E"/>
    <w:rsid w:val="00175B5A"/>
    <w:rsid w:val="00175EF2"/>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4E5"/>
    <w:rsid w:val="00182718"/>
    <w:rsid w:val="00182B5F"/>
    <w:rsid w:val="00182B6D"/>
    <w:rsid w:val="00182FBF"/>
    <w:rsid w:val="001836DF"/>
    <w:rsid w:val="00183897"/>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828"/>
    <w:rsid w:val="00196AE7"/>
    <w:rsid w:val="00196B90"/>
    <w:rsid w:val="00196C81"/>
    <w:rsid w:val="00196C9F"/>
    <w:rsid w:val="00196DE8"/>
    <w:rsid w:val="00196FF4"/>
    <w:rsid w:val="0019734F"/>
    <w:rsid w:val="00197588"/>
    <w:rsid w:val="0019776D"/>
    <w:rsid w:val="00197ABF"/>
    <w:rsid w:val="00197FCD"/>
    <w:rsid w:val="001A0303"/>
    <w:rsid w:val="001A0313"/>
    <w:rsid w:val="001A0676"/>
    <w:rsid w:val="001A067A"/>
    <w:rsid w:val="001A06C8"/>
    <w:rsid w:val="001A0F79"/>
    <w:rsid w:val="001A10A9"/>
    <w:rsid w:val="001A1337"/>
    <w:rsid w:val="001A150B"/>
    <w:rsid w:val="001A15ED"/>
    <w:rsid w:val="001A1A38"/>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6FF6"/>
    <w:rsid w:val="001A706D"/>
    <w:rsid w:val="001A71EB"/>
    <w:rsid w:val="001A72C6"/>
    <w:rsid w:val="001A72EE"/>
    <w:rsid w:val="001A7826"/>
    <w:rsid w:val="001A79DA"/>
    <w:rsid w:val="001A7A9B"/>
    <w:rsid w:val="001A7F48"/>
    <w:rsid w:val="001B00B2"/>
    <w:rsid w:val="001B0149"/>
    <w:rsid w:val="001B0251"/>
    <w:rsid w:val="001B090F"/>
    <w:rsid w:val="001B131F"/>
    <w:rsid w:val="001B1565"/>
    <w:rsid w:val="001B187C"/>
    <w:rsid w:val="001B1A2F"/>
    <w:rsid w:val="001B1CEB"/>
    <w:rsid w:val="001B1D61"/>
    <w:rsid w:val="001B1EC4"/>
    <w:rsid w:val="001B1F72"/>
    <w:rsid w:val="001B2993"/>
    <w:rsid w:val="001B2C18"/>
    <w:rsid w:val="001B306F"/>
    <w:rsid w:val="001B35C1"/>
    <w:rsid w:val="001B3754"/>
    <w:rsid w:val="001B3A10"/>
    <w:rsid w:val="001B4154"/>
    <w:rsid w:val="001B42CB"/>
    <w:rsid w:val="001B4371"/>
    <w:rsid w:val="001B46BB"/>
    <w:rsid w:val="001B4F61"/>
    <w:rsid w:val="001B5208"/>
    <w:rsid w:val="001B5332"/>
    <w:rsid w:val="001B54E9"/>
    <w:rsid w:val="001B55DE"/>
    <w:rsid w:val="001B5F40"/>
    <w:rsid w:val="001B6FC8"/>
    <w:rsid w:val="001B70CF"/>
    <w:rsid w:val="001B7488"/>
    <w:rsid w:val="001B748B"/>
    <w:rsid w:val="001B787E"/>
    <w:rsid w:val="001B7905"/>
    <w:rsid w:val="001B7B7B"/>
    <w:rsid w:val="001B7CC7"/>
    <w:rsid w:val="001C0085"/>
    <w:rsid w:val="001C0311"/>
    <w:rsid w:val="001C063F"/>
    <w:rsid w:val="001C0716"/>
    <w:rsid w:val="001C0874"/>
    <w:rsid w:val="001C0883"/>
    <w:rsid w:val="001C0AE2"/>
    <w:rsid w:val="001C12A0"/>
    <w:rsid w:val="001C16A9"/>
    <w:rsid w:val="001C19EB"/>
    <w:rsid w:val="001C1E53"/>
    <w:rsid w:val="001C211D"/>
    <w:rsid w:val="001C22D9"/>
    <w:rsid w:val="001C2A8B"/>
    <w:rsid w:val="001C3434"/>
    <w:rsid w:val="001C3474"/>
    <w:rsid w:val="001C368E"/>
    <w:rsid w:val="001C3DC6"/>
    <w:rsid w:val="001C3DCD"/>
    <w:rsid w:val="001C3E02"/>
    <w:rsid w:val="001C4393"/>
    <w:rsid w:val="001C447C"/>
    <w:rsid w:val="001C4782"/>
    <w:rsid w:val="001C4A39"/>
    <w:rsid w:val="001C4C18"/>
    <w:rsid w:val="001C4F5F"/>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79"/>
    <w:rsid w:val="001D13B7"/>
    <w:rsid w:val="001D148D"/>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C70"/>
    <w:rsid w:val="001D6E61"/>
    <w:rsid w:val="001D6F30"/>
    <w:rsid w:val="001D7260"/>
    <w:rsid w:val="001D7764"/>
    <w:rsid w:val="001D7816"/>
    <w:rsid w:val="001D7ADE"/>
    <w:rsid w:val="001D7B96"/>
    <w:rsid w:val="001D7EB4"/>
    <w:rsid w:val="001D7F28"/>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78"/>
    <w:rsid w:val="001E32BE"/>
    <w:rsid w:val="001E3A45"/>
    <w:rsid w:val="001E3C52"/>
    <w:rsid w:val="001E420B"/>
    <w:rsid w:val="001E434B"/>
    <w:rsid w:val="001E4704"/>
    <w:rsid w:val="001E4FCB"/>
    <w:rsid w:val="001E5776"/>
    <w:rsid w:val="001E5BB2"/>
    <w:rsid w:val="001E5D1F"/>
    <w:rsid w:val="001E6313"/>
    <w:rsid w:val="001E63F5"/>
    <w:rsid w:val="001E6713"/>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2A9"/>
    <w:rsid w:val="001F26E9"/>
    <w:rsid w:val="001F2983"/>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195"/>
    <w:rsid w:val="00205635"/>
    <w:rsid w:val="002059A3"/>
    <w:rsid w:val="00205AB2"/>
    <w:rsid w:val="00205CB2"/>
    <w:rsid w:val="00205D98"/>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951"/>
    <w:rsid w:val="00211C62"/>
    <w:rsid w:val="00211D31"/>
    <w:rsid w:val="00211DD9"/>
    <w:rsid w:val="0021212F"/>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1C0B"/>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59A6"/>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68"/>
    <w:rsid w:val="00227F9E"/>
    <w:rsid w:val="00230040"/>
    <w:rsid w:val="00230189"/>
    <w:rsid w:val="00230AD3"/>
    <w:rsid w:val="00230B14"/>
    <w:rsid w:val="00230BB1"/>
    <w:rsid w:val="0023124C"/>
    <w:rsid w:val="0023127D"/>
    <w:rsid w:val="0023138A"/>
    <w:rsid w:val="002314EE"/>
    <w:rsid w:val="00231740"/>
    <w:rsid w:val="00231B71"/>
    <w:rsid w:val="00231D67"/>
    <w:rsid w:val="00232149"/>
    <w:rsid w:val="00232191"/>
    <w:rsid w:val="0023287C"/>
    <w:rsid w:val="00232B0A"/>
    <w:rsid w:val="00232E9D"/>
    <w:rsid w:val="0023324F"/>
    <w:rsid w:val="0023351A"/>
    <w:rsid w:val="0023364F"/>
    <w:rsid w:val="0023406E"/>
    <w:rsid w:val="002344C8"/>
    <w:rsid w:val="002349C5"/>
    <w:rsid w:val="00234B73"/>
    <w:rsid w:val="00234F32"/>
    <w:rsid w:val="00234FE9"/>
    <w:rsid w:val="002350AB"/>
    <w:rsid w:val="00235581"/>
    <w:rsid w:val="00235698"/>
    <w:rsid w:val="00235CFD"/>
    <w:rsid w:val="00235E6D"/>
    <w:rsid w:val="00236122"/>
    <w:rsid w:val="00236443"/>
    <w:rsid w:val="002367B0"/>
    <w:rsid w:val="002368F6"/>
    <w:rsid w:val="00236F71"/>
    <w:rsid w:val="0023700F"/>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954"/>
    <w:rsid w:val="00251DC4"/>
    <w:rsid w:val="00251F5E"/>
    <w:rsid w:val="00251F78"/>
    <w:rsid w:val="00251FA7"/>
    <w:rsid w:val="0025204B"/>
    <w:rsid w:val="0025266D"/>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50B"/>
    <w:rsid w:val="002635C0"/>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3A9"/>
    <w:rsid w:val="00282405"/>
    <w:rsid w:val="002825CE"/>
    <w:rsid w:val="0028262B"/>
    <w:rsid w:val="002826AF"/>
    <w:rsid w:val="00283165"/>
    <w:rsid w:val="00283197"/>
    <w:rsid w:val="002832E7"/>
    <w:rsid w:val="00283F7F"/>
    <w:rsid w:val="00284CD4"/>
    <w:rsid w:val="00284E7F"/>
    <w:rsid w:val="0028550D"/>
    <w:rsid w:val="00285520"/>
    <w:rsid w:val="00285894"/>
    <w:rsid w:val="00285E28"/>
    <w:rsid w:val="00286631"/>
    <w:rsid w:val="00286866"/>
    <w:rsid w:val="002869EE"/>
    <w:rsid w:val="00286AEB"/>
    <w:rsid w:val="00286F76"/>
    <w:rsid w:val="00287376"/>
    <w:rsid w:val="002873F8"/>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7C2"/>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780"/>
    <w:rsid w:val="002A0DA1"/>
    <w:rsid w:val="002A189A"/>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502F"/>
    <w:rsid w:val="002C54AD"/>
    <w:rsid w:val="002C5533"/>
    <w:rsid w:val="002C5620"/>
    <w:rsid w:val="002C56F6"/>
    <w:rsid w:val="002C5A6B"/>
    <w:rsid w:val="002C5AF5"/>
    <w:rsid w:val="002C61E0"/>
    <w:rsid w:val="002C61F0"/>
    <w:rsid w:val="002C640C"/>
    <w:rsid w:val="002C6427"/>
    <w:rsid w:val="002C6D3C"/>
    <w:rsid w:val="002C782F"/>
    <w:rsid w:val="002C7B03"/>
    <w:rsid w:val="002C7B0D"/>
    <w:rsid w:val="002C7EBB"/>
    <w:rsid w:val="002C7F5F"/>
    <w:rsid w:val="002C7F7F"/>
    <w:rsid w:val="002D001E"/>
    <w:rsid w:val="002D0115"/>
    <w:rsid w:val="002D0298"/>
    <w:rsid w:val="002D04DC"/>
    <w:rsid w:val="002D0657"/>
    <w:rsid w:val="002D0820"/>
    <w:rsid w:val="002D09B3"/>
    <w:rsid w:val="002D0AED"/>
    <w:rsid w:val="002D11D7"/>
    <w:rsid w:val="002D1258"/>
    <w:rsid w:val="002D13B7"/>
    <w:rsid w:val="002D16B0"/>
    <w:rsid w:val="002D1E1E"/>
    <w:rsid w:val="002D2B4E"/>
    <w:rsid w:val="002D300F"/>
    <w:rsid w:val="002D38F4"/>
    <w:rsid w:val="002D3968"/>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E49"/>
    <w:rsid w:val="002D6F01"/>
    <w:rsid w:val="002D7235"/>
    <w:rsid w:val="002D76E8"/>
    <w:rsid w:val="002E0595"/>
    <w:rsid w:val="002E0E4A"/>
    <w:rsid w:val="002E0E94"/>
    <w:rsid w:val="002E11D5"/>
    <w:rsid w:val="002E14D2"/>
    <w:rsid w:val="002E15A5"/>
    <w:rsid w:val="002E16BC"/>
    <w:rsid w:val="002E1F0A"/>
    <w:rsid w:val="002E2122"/>
    <w:rsid w:val="002E21D5"/>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CD"/>
    <w:rsid w:val="002E58E1"/>
    <w:rsid w:val="002E5BDD"/>
    <w:rsid w:val="002E5C55"/>
    <w:rsid w:val="002E5C56"/>
    <w:rsid w:val="002E5D70"/>
    <w:rsid w:val="002E5D86"/>
    <w:rsid w:val="002E5DD7"/>
    <w:rsid w:val="002E6809"/>
    <w:rsid w:val="002E76A7"/>
    <w:rsid w:val="002F0045"/>
    <w:rsid w:val="002F00F0"/>
    <w:rsid w:val="002F0112"/>
    <w:rsid w:val="002F025B"/>
    <w:rsid w:val="002F0684"/>
    <w:rsid w:val="002F088F"/>
    <w:rsid w:val="002F09C0"/>
    <w:rsid w:val="002F0ADB"/>
    <w:rsid w:val="002F0DA8"/>
    <w:rsid w:val="002F0E34"/>
    <w:rsid w:val="002F2724"/>
    <w:rsid w:val="002F2817"/>
    <w:rsid w:val="002F29A0"/>
    <w:rsid w:val="002F2A3B"/>
    <w:rsid w:val="002F2AE0"/>
    <w:rsid w:val="002F31C1"/>
    <w:rsid w:val="002F31C4"/>
    <w:rsid w:val="002F322F"/>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D9E"/>
    <w:rsid w:val="002F5FDA"/>
    <w:rsid w:val="002F6371"/>
    <w:rsid w:val="002F63ED"/>
    <w:rsid w:val="002F6775"/>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4F46"/>
    <w:rsid w:val="00305FA4"/>
    <w:rsid w:val="003060B8"/>
    <w:rsid w:val="00306554"/>
    <w:rsid w:val="003065FB"/>
    <w:rsid w:val="003067A9"/>
    <w:rsid w:val="00306ED2"/>
    <w:rsid w:val="00306F89"/>
    <w:rsid w:val="00306FA0"/>
    <w:rsid w:val="0030749E"/>
    <w:rsid w:val="0030761B"/>
    <w:rsid w:val="00307858"/>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689"/>
    <w:rsid w:val="00312709"/>
    <w:rsid w:val="00312B3A"/>
    <w:rsid w:val="00313171"/>
    <w:rsid w:val="00313765"/>
    <w:rsid w:val="003137A0"/>
    <w:rsid w:val="00313BC1"/>
    <w:rsid w:val="00313C4F"/>
    <w:rsid w:val="00313EB2"/>
    <w:rsid w:val="003141C2"/>
    <w:rsid w:val="003147A6"/>
    <w:rsid w:val="00314CBB"/>
    <w:rsid w:val="00314E09"/>
    <w:rsid w:val="00314EEC"/>
    <w:rsid w:val="0031599D"/>
    <w:rsid w:val="00315C9B"/>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2123"/>
    <w:rsid w:val="003321C3"/>
    <w:rsid w:val="00332962"/>
    <w:rsid w:val="00332C7A"/>
    <w:rsid w:val="003330B1"/>
    <w:rsid w:val="0033377E"/>
    <w:rsid w:val="00333AEC"/>
    <w:rsid w:val="003341B1"/>
    <w:rsid w:val="00334901"/>
    <w:rsid w:val="00334DA2"/>
    <w:rsid w:val="00334E18"/>
    <w:rsid w:val="00335250"/>
    <w:rsid w:val="0033528D"/>
    <w:rsid w:val="00335337"/>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19E"/>
    <w:rsid w:val="00337210"/>
    <w:rsid w:val="00337B29"/>
    <w:rsid w:val="00337C71"/>
    <w:rsid w:val="0034024A"/>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4A72"/>
    <w:rsid w:val="003450BC"/>
    <w:rsid w:val="0034511B"/>
    <w:rsid w:val="0034529D"/>
    <w:rsid w:val="00345AB4"/>
    <w:rsid w:val="00345DEB"/>
    <w:rsid w:val="00346220"/>
    <w:rsid w:val="003464A6"/>
    <w:rsid w:val="003469E7"/>
    <w:rsid w:val="0034714B"/>
    <w:rsid w:val="003473C7"/>
    <w:rsid w:val="0034745C"/>
    <w:rsid w:val="003474CD"/>
    <w:rsid w:val="003479B6"/>
    <w:rsid w:val="00347EEB"/>
    <w:rsid w:val="0035025F"/>
    <w:rsid w:val="0035041A"/>
    <w:rsid w:val="003505AD"/>
    <w:rsid w:val="00350631"/>
    <w:rsid w:val="00350B5D"/>
    <w:rsid w:val="00350C86"/>
    <w:rsid w:val="00350EE7"/>
    <w:rsid w:val="00351439"/>
    <w:rsid w:val="0035180B"/>
    <w:rsid w:val="00351C86"/>
    <w:rsid w:val="00351C98"/>
    <w:rsid w:val="00351CBF"/>
    <w:rsid w:val="00351D09"/>
    <w:rsid w:val="00351E9C"/>
    <w:rsid w:val="00352043"/>
    <w:rsid w:val="0035216E"/>
    <w:rsid w:val="00352268"/>
    <w:rsid w:val="00352363"/>
    <w:rsid w:val="003526E0"/>
    <w:rsid w:val="00352759"/>
    <w:rsid w:val="00352828"/>
    <w:rsid w:val="00352952"/>
    <w:rsid w:val="00352DAE"/>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1D"/>
    <w:rsid w:val="00357659"/>
    <w:rsid w:val="00357712"/>
    <w:rsid w:val="003577D5"/>
    <w:rsid w:val="00357CAE"/>
    <w:rsid w:val="00357E08"/>
    <w:rsid w:val="003604DB"/>
    <w:rsid w:val="00360A2F"/>
    <w:rsid w:val="00360BC6"/>
    <w:rsid w:val="00360D71"/>
    <w:rsid w:val="00360E2B"/>
    <w:rsid w:val="003612BC"/>
    <w:rsid w:val="003615C7"/>
    <w:rsid w:val="003617B5"/>
    <w:rsid w:val="00361853"/>
    <w:rsid w:val="0036185C"/>
    <w:rsid w:val="00361B1A"/>
    <w:rsid w:val="00361E64"/>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C79"/>
    <w:rsid w:val="00370EFD"/>
    <w:rsid w:val="00371137"/>
    <w:rsid w:val="003711C5"/>
    <w:rsid w:val="00371621"/>
    <w:rsid w:val="003719F5"/>
    <w:rsid w:val="00371B1A"/>
    <w:rsid w:val="00372019"/>
    <w:rsid w:val="00372029"/>
    <w:rsid w:val="003724A1"/>
    <w:rsid w:val="00372A3A"/>
    <w:rsid w:val="00372A6B"/>
    <w:rsid w:val="00372C12"/>
    <w:rsid w:val="00372C25"/>
    <w:rsid w:val="00373612"/>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3BE"/>
    <w:rsid w:val="00380543"/>
    <w:rsid w:val="00380602"/>
    <w:rsid w:val="00380892"/>
    <w:rsid w:val="00380A31"/>
    <w:rsid w:val="00380BBD"/>
    <w:rsid w:val="00380D13"/>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B02"/>
    <w:rsid w:val="00390C56"/>
    <w:rsid w:val="00390D04"/>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2019"/>
    <w:rsid w:val="003A282E"/>
    <w:rsid w:val="003A29C1"/>
    <w:rsid w:val="003A2A8B"/>
    <w:rsid w:val="003A2D39"/>
    <w:rsid w:val="003A2FE7"/>
    <w:rsid w:val="003A349E"/>
    <w:rsid w:val="003A34B7"/>
    <w:rsid w:val="003A3514"/>
    <w:rsid w:val="003A38AC"/>
    <w:rsid w:val="003A38F3"/>
    <w:rsid w:val="003A42BB"/>
    <w:rsid w:val="003A4308"/>
    <w:rsid w:val="003A44AA"/>
    <w:rsid w:val="003A45FB"/>
    <w:rsid w:val="003A466B"/>
    <w:rsid w:val="003A48FC"/>
    <w:rsid w:val="003A4967"/>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C0"/>
    <w:rsid w:val="003A71E1"/>
    <w:rsid w:val="003A723D"/>
    <w:rsid w:val="003A7534"/>
    <w:rsid w:val="003A76A9"/>
    <w:rsid w:val="003A7747"/>
    <w:rsid w:val="003A7F20"/>
    <w:rsid w:val="003B0299"/>
    <w:rsid w:val="003B0898"/>
    <w:rsid w:val="003B0B4D"/>
    <w:rsid w:val="003B0B81"/>
    <w:rsid w:val="003B0D96"/>
    <w:rsid w:val="003B248F"/>
    <w:rsid w:val="003B2B79"/>
    <w:rsid w:val="003B2C70"/>
    <w:rsid w:val="003B3046"/>
    <w:rsid w:val="003B3171"/>
    <w:rsid w:val="003B3D02"/>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177"/>
    <w:rsid w:val="003C121F"/>
    <w:rsid w:val="003C1265"/>
    <w:rsid w:val="003C1586"/>
    <w:rsid w:val="003C1A48"/>
    <w:rsid w:val="003C2C9D"/>
    <w:rsid w:val="003C2DCF"/>
    <w:rsid w:val="003C38BD"/>
    <w:rsid w:val="003C3999"/>
    <w:rsid w:val="003C3B73"/>
    <w:rsid w:val="003C3D6E"/>
    <w:rsid w:val="003C3F8B"/>
    <w:rsid w:val="003C4135"/>
    <w:rsid w:val="003C4213"/>
    <w:rsid w:val="003C4250"/>
    <w:rsid w:val="003C44DB"/>
    <w:rsid w:val="003C4520"/>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6A7"/>
    <w:rsid w:val="003D0868"/>
    <w:rsid w:val="003D09DA"/>
    <w:rsid w:val="003D0AB1"/>
    <w:rsid w:val="003D0D75"/>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ED5"/>
    <w:rsid w:val="003D4EDA"/>
    <w:rsid w:val="003D4F35"/>
    <w:rsid w:val="003D4F6C"/>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4A0"/>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AD1"/>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80"/>
    <w:rsid w:val="003F23A7"/>
    <w:rsid w:val="003F252B"/>
    <w:rsid w:val="003F2564"/>
    <w:rsid w:val="003F2624"/>
    <w:rsid w:val="003F2711"/>
    <w:rsid w:val="003F299E"/>
    <w:rsid w:val="003F2A56"/>
    <w:rsid w:val="003F348A"/>
    <w:rsid w:val="003F367B"/>
    <w:rsid w:val="003F39E9"/>
    <w:rsid w:val="003F43B1"/>
    <w:rsid w:val="003F4933"/>
    <w:rsid w:val="003F4977"/>
    <w:rsid w:val="003F4A21"/>
    <w:rsid w:val="003F4C7D"/>
    <w:rsid w:val="003F4E0A"/>
    <w:rsid w:val="003F4E1C"/>
    <w:rsid w:val="003F536B"/>
    <w:rsid w:val="003F560A"/>
    <w:rsid w:val="003F577C"/>
    <w:rsid w:val="003F586D"/>
    <w:rsid w:val="003F5E82"/>
    <w:rsid w:val="003F62B4"/>
    <w:rsid w:val="003F682D"/>
    <w:rsid w:val="003F6853"/>
    <w:rsid w:val="003F6930"/>
    <w:rsid w:val="003F697D"/>
    <w:rsid w:val="003F6A55"/>
    <w:rsid w:val="003F70B4"/>
    <w:rsid w:val="003F73A0"/>
    <w:rsid w:val="003F74F1"/>
    <w:rsid w:val="003F75DD"/>
    <w:rsid w:val="003F7908"/>
    <w:rsid w:val="003F7A7C"/>
    <w:rsid w:val="003F7DFF"/>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AB3"/>
    <w:rsid w:val="00421D1C"/>
    <w:rsid w:val="00421DE5"/>
    <w:rsid w:val="004222BF"/>
    <w:rsid w:val="004223C5"/>
    <w:rsid w:val="00422A01"/>
    <w:rsid w:val="00422D62"/>
    <w:rsid w:val="00422DB5"/>
    <w:rsid w:val="004232D4"/>
    <w:rsid w:val="00423326"/>
    <w:rsid w:val="00423E9A"/>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B0B"/>
    <w:rsid w:val="00426DFA"/>
    <w:rsid w:val="004272ED"/>
    <w:rsid w:val="004273D4"/>
    <w:rsid w:val="0042745C"/>
    <w:rsid w:val="004276E3"/>
    <w:rsid w:val="00427B9D"/>
    <w:rsid w:val="00427BFB"/>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8A"/>
    <w:rsid w:val="00433DC7"/>
    <w:rsid w:val="00434066"/>
    <w:rsid w:val="00434754"/>
    <w:rsid w:val="0043480E"/>
    <w:rsid w:val="00434C24"/>
    <w:rsid w:val="00434D46"/>
    <w:rsid w:val="00435248"/>
    <w:rsid w:val="0043542F"/>
    <w:rsid w:val="004355EB"/>
    <w:rsid w:val="00435602"/>
    <w:rsid w:val="004356FA"/>
    <w:rsid w:val="0043582D"/>
    <w:rsid w:val="004358F4"/>
    <w:rsid w:val="00435CCF"/>
    <w:rsid w:val="00435F06"/>
    <w:rsid w:val="004360C7"/>
    <w:rsid w:val="0043614E"/>
    <w:rsid w:val="00436696"/>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60D"/>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907"/>
    <w:rsid w:val="00445C33"/>
    <w:rsid w:val="00445C64"/>
    <w:rsid w:val="00445CFF"/>
    <w:rsid w:val="0044603B"/>
    <w:rsid w:val="004462AF"/>
    <w:rsid w:val="00446424"/>
    <w:rsid w:val="0044662A"/>
    <w:rsid w:val="004468F1"/>
    <w:rsid w:val="004475BC"/>
    <w:rsid w:val="004478FA"/>
    <w:rsid w:val="00447C86"/>
    <w:rsid w:val="00450643"/>
    <w:rsid w:val="00450652"/>
    <w:rsid w:val="00450778"/>
    <w:rsid w:val="00450B89"/>
    <w:rsid w:val="00450D3B"/>
    <w:rsid w:val="0045129E"/>
    <w:rsid w:val="0045146F"/>
    <w:rsid w:val="0045169D"/>
    <w:rsid w:val="004518D5"/>
    <w:rsid w:val="00451B06"/>
    <w:rsid w:val="00451BEB"/>
    <w:rsid w:val="004520FE"/>
    <w:rsid w:val="0045224A"/>
    <w:rsid w:val="004522DC"/>
    <w:rsid w:val="004527C0"/>
    <w:rsid w:val="00452E29"/>
    <w:rsid w:val="00452F3F"/>
    <w:rsid w:val="00453871"/>
    <w:rsid w:val="00453DEF"/>
    <w:rsid w:val="004540AC"/>
    <w:rsid w:val="004543E4"/>
    <w:rsid w:val="004548E5"/>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400B"/>
    <w:rsid w:val="0046403E"/>
    <w:rsid w:val="004641A0"/>
    <w:rsid w:val="0046434B"/>
    <w:rsid w:val="00464A82"/>
    <w:rsid w:val="00464EE0"/>
    <w:rsid w:val="00465180"/>
    <w:rsid w:val="00465235"/>
    <w:rsid w:val="0046545B"/>
    <w:rsid w:val="00465467"/>
    <w:rsid w:val="00465573"/>
    <w:rsid w:val="00465EB3"/>
    <w:rsid w:val="00466017"/>
    <w:rsid w:val="0046677D"/>
    <w:rsid w:val="00466D1F"/>
    <w:rsid w:val="00466E99"/>
    <w:rsid w:val="00466FCE"/>
    <w:rsid w:val="004670AB"/>
    <w:rsid w:val="0046711A"/>
    <w:rsid w:val="0046749D"/>
    <w:rsid w:val="00467707"/>
    <w:rsid w:val="00470095"/>
    <w:rsid w:val="0047041E"/>
    <w:rsid w:val="00470628"/>
    <w:rsid w:val="00470750"/>
    <w:rsid w:val="00470893"/>
    <w:rsid w:val="0047166D"/>
    <w:rsid w:val="00471856"/>
    <w:rsid w:val="00471DB0"/>
    <w:rsid w:val="00471FAB"/>
    <w:rsid w:val="004720F3"/>
    <w:rsid w:val="0047253B"/>
    <w:rsid w:val="00472ACB"/>
    <w:rsid w:val="004734EF"/>
    <w:rsid w:val="004735E8"/>
    <w:rsid w:val="004737D3"/>
    <w:rsid w:val="00473F5F"/>
    <w:rsid w:val="0047410D"/>
    <w:rsid w:val="0047475B"/>
    <w:rsid w:val="004747BA"/>
    <w:rsid w:val="00474984"/>
    <w:rsid w:val="004749AE"/>
    <w:rsid w:val="00474C13"/>
    <w:rsid w:val="0047514C"/>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56F"/>
    <w:rsid w:val="00480949"/>
    <w:rsid w:val="00480B03"/>
    <w:rsid w:val="00480BCC"/>
    <w:rsid w:val="00480C70"/>
    <w:rsid w:val="00480CC5"/>
    <w:rsid w:val="00480FB0"/>
    <w:rsid w:val="004810EC"/>
    <w:rsid w:val="0048129B"/>
    <w:rsid w:val="00481607"/>
    <w:rsid w:val="00481611"/>
    <w:rsid w:val="004818FF"/>
    <w:rsid w:val="00481D4E"/>
    <w:rsid w:val="00482106"/>
    <w:rsid w:val="0048215F"/>
    <w:rsid w:val="00482389"/>
    <w:rsid w:val="004824C0"/>
    <w:rsid w:val="00482943"/>
    <w:rsid w:val="00482ADC"/>
    <w:rsid w:val="00482C93"/>
    <w:rsid w:val="00482F79"/>
    <w:rsid w:val="004835CD"/>
    <w:rsid w:val="00483784"/>
    <w:rsid w:val="00483A6E"/>
    <w:rsid w:val="00483D11"/>
    <w:rsid w:val="00483D20"/>
    <w:rsid w:val="00483EAA"/>
    <w:rsid w:val="0048406D"/>
    <w:rsid w:val="00484433"/>
    <w:rsid w:val="00484C46"/>
    <w:rsid w:val="00484C68"/>
    <w:rsid w:val="00484DC1"/>
    <w:rsid w:val="0048542B"/>
    <w:rsid w:val="004856EF"/>
    <w:rsid w:val="00485861"/>
    <w:rsid w:val="0048598C"/>
    <w:rsid w:val="00485998"/>
    <w:rsid w:val="00485A0B"/>
    <w:rsid w:val="00485AA5"/>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2BC7"/>
    <w:rsid w:val="00492E30"/>
    <w:rsid w:val="0049329B"/>
    <w:rsid w:val="0049349F"/>
    <w:rsid w:val="004935A4"/>
    <w:rsid w:val="004936E2"/>
    <w:rsid w:val="004938AA"/>
    <w:rsid w:val="00493ADE"/>
    <w:rsid w:val="00493D08"/>
    <w:rsid w:val="004940D5"/>
    <w:rsid w:val="004944EB"/>
    <w:rsid w:val="004949D8"/>
    <w:rsid w:val="00494A74"/>
    <w:rsid w:val="00494E75"/>
    <w:rsid w:val="00494EC7"/>
    <w:rsid w:val="00495071"/>
    <w:rsid w:val="004954FC"/>
    <w:rsid w:val="00495C74"/>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C33"/>
    <w:rsid w:val="004B2CDB"/>
    <w:rsid w:val="004B2D10"/>
    <w:rsid w:val="004B2D83"/>
    <w:rsid w:val="004B2DE8"/>
    <w:rsid w:val="004B2F6E"/>
    <w:rsid w:val="004B3151"/>
    <w:rsid w:val="004B39AA"/>
    <w:rsid w:val="004B3BB3"/>
    <w:rsid w:val="004B3C3F"/>
    <w:rsid w:val="004B45A2"/>
    <w:rsid w:val="004B46C3"/>
    <w:rsid w:val="004B4789"/>
    <w:rsid w:val="004B4A0F"/>
    <w:rsid w:val="004B4F6B"/>
    <w:rsid w:val="004B50E0"/>
    <w:rsid w:val="004B5101"/>
    <w:rsid w:val="004B55EC"/>
    <w:rsid w:val="004B5805"/>
    <w:rsid w:val="004B5856"/>
    <w:rsid w:val="004B6208"/>
    <w:rsid w:val="004B6301"/>
    <w:rsid w:val="004B6FFB"/>
    <w:rsid w:val="004B725D"/>
    <w:rsid w:val="004B7311"/>
    <w:rsid w:val="004B795F"/>
    <w:rsid w:val="004B7BA5"/>
    <w:rsid w:val="004C004D"/>
    <w:rsid w:val="004C0346"/>
    <w:rsid w:val="004C03FE"/>
    <w:rsid w:val="004C0459"/>
    <w:rsid w:val="004C0A45"/>
    <w:rsid w:val="004C0B5B"/>
    <w:rsid w:val="004C0B9A"/>
    <w:rsid w:val="004C0C5C"/>
    <w:rsid w:val="004C0F99"/>
    <w:rsid w:val="004C1111"/>
    <w:rsid w:val="004C130D"/>
    <w:rsid w:val="004C1624"/>
    <w:rsid w:val="004C19E4"/>
    <w:rsid w:val="004C2346"/>
    <w:rsid w:val="004C2371"/>
    <w:rsid w:val="004C2D8C"/>
    <w:rsid w:val="004C2E66"/>
    <w:rsid w:val="004C2F01"/>
    <w:rsid w:val="004C3472"/>
    <w:rsid w:val="004C34E8"/>
    <w:rsid w:val="004C3AD1"/>
    <w:rsid w:val="004C3C51"/>
    <w:rsid w:val="004C3DC4"/>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B1"/>
    <w:rsid w:val="004D7DF3"/>
    <w:rsid w:val="004E0033"/>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978"/>
    <w:rsid w:val="004E3B0E"/>
    <w:rsid w:val="004E3FB8"/>
    <w:rsid w:val="004E3FD8"/>
    <w:rsid w:val="004E43EB"/>
    <w:rsid w:val="004E471C"/>
    <w:rsid w:val="004E4EF1"/>
    <w:rsid w:val="004E4FD6"/>
    <w:rsid w:val="004E524E"/>
    <w:rsid w:val="004E53AE"/>
    <w:rsid w:val="004E5449"/>
    <w:rsid w:val="004E5710"/>
    <w:rsid w:val="004E5788"/>
    <w:rsid w:val="004E593F"/>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4F3E"/>
    <w:rsid w:val="004F5048"/>
    <w:rsid w:val="004F504A"/>
    <w:rsid w:val="004F520E"/>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9A"/>
    <w:rsid w:val="00501ADF"/>
    <w:rsid w:val="00501BDA"/>
    <w:rsid w:val="00501F0D"/>
    <w:rsid w:val="00502041"/>
    <w:rsid w:val="005023DC"/>
    <w:rsid w:val="005024F8"/>
    <w:rsid w:val="00502857"/>
    <w:rsid w:val="005029A2"/>
    <w:rsid w:val="00502FCA"/>
    <w:rsid w:val="005033EE"/>
    <w:rsid w:val="0050377B"/>
    <w:rsid w:val="005038A7"/>
    <w:rsid w:val="0050398B"/>
    <w:rsid w:val="00503AC8"/>
    <w:rsid w:val="00503FAD"/>
    <w:rsid w:val="00504639"/>
    <w:rsid w:val="00504998"/>
    <w:rsid w:val="00504AC2"/>
    <w:rsid w:val="00504BF5"/>
    <w:rsid w:val="00504C77"/>
    <w:rsid w:val="00504CBB"/>
    <w:rsid w:val="00504D9B"/>
    <w:rsid w:val="00504F81"/>
    <w:rsid w:val="00504F85"/>
    <w:rsid w:val="005055D4"/>
    <w:rsid w:val="005057FB"/>
    <w:rsid w:val="0050582F"/>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891"/>
    <w:rsid w:val="0050792A"/>
    <w:rsid w:val="00507CAF"/>
    <w:rsid w:val="00507FB6"/>
    <w:rsid w:val="00510037"/>
    <w:rsid w:val="00510374"/>
    <w:rsid w:val="00510444"/>
    <w:rsid w:val="00510598"/>
    <w:rsid w:val="005112D0"/>
    <w:rsid w:val="00511510"/>
    <w:rsid w:val="00511599"/>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768"/>
    <w:rsid w:val="00521D24"/>
    <w:rsid w:val="00521D65"/>
    <w:rsid w:val="005221A4"/>
    <w:rsid w:val="005221BA"/>
    <w:rsid w:val="00522483"/>
    <w:rsid w:val="00522BC8"/>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9BB"/>
    <w:rsid w:val="00544BAF"/>
    <w:rsid w:val="005452C0"/>
    <w:rsid w:val="005453BA"/>
    <w:rsid w:val="00545451"/>
    <w:rsid w:val="00545486"/>
    <w:rsid w:val="0054556F"/>
    <w:rsid w:val="005455D0"/>
    <w:rsid w:val="005456AD"/>
    <w:rsid w:val="00545B46"/>
    <w:rsid w:val="00545C3D"/>
    <w:rsid w:val="00545E6A"/>
    <w:rsid w:val="00545ECD"/>
    <w:rsid w:val="00546310"/>
    <w:rsid w:val="00546642"/>
    <w:rsid w:val="005466B9"/>
    <w:rsid w:val="00546738"/>
    <w:rsid w:val="0054676B"/>
    <w:rsid w:val="005467D6"/>
    <w:rsid w:val="00546942"/>
    <w:rsid w:val="00546D63"/>
    <w:rsid w:val="00546E1D"/>
    <w:rsid w:val="005471A3"/>
    <w:rsid w:val="005474C6"/>
    <w:rsid w:val="00547806"/>
    <w:rsid w:val="00547B14"/>
    <w:rsid w:val="00547D9B"/>
    <w:rsid w:val="00547F14"/>
    <w:rsid w:val="0055049D"/>
    <w:rsid w:val="0055052C"/>
    <w:rsid w:val="0055088A"/>
    <w:rsid w:val="00550C01"/>
    <w:rsid w:val="00550D6F"/>
    <w:rsid w:val="00550F23"/>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A51"/>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83"/>
    <w:rsid w:val="00571358"/>
    <w:rsid w:val="00571382"/>
    <w:rsid w:val="0057144F"/>
    <w:rsid w:val="005718B8"/>
    <w:rsid w:val="005719F4"/>
    <w:rsid w:val="00571A0C"/>
    <w:rsid w:val="00571B71"/>
    <w:rsid w:val="00572152"/>
    <w:rsid w:val="00572583"/>
    <w:rsid w:val="005725AE"/>
    <w:rsid w:val="00572643"/>
    <w:rsid w:val="0057265C"/>
    <w:rsid w:val="00572995"/>
    <w:rsid w:val="00572CD6"/>
    <w:rsid w:val="00572D1D"/>
    <w:rsid w:val="00572F26"/>
    <w:rsid w:val="005730FF"/>
    <w:rsid w:val="00573283"/>
    <w:rsid w:val="0057380A"/>
    <w:rsid w:val="00573BB0"/>
    <w:rsid w:val="00573D2B"/>
    <w:rsid w:val="00573F24"/>
    <w:rsid w:val="00574167"/>
    <w:rsid w:val="00574B40"/>
    <w:rsid w:val="00574D14"/>
    <w:rsid w:val="00574FDC"/>
    <w:rsid w:val="005753DB"/>
    <w:rsid w:val="005756BD"/>
    <w:rsid w:val="0057578C"/>
    <w:rsid w:val="00575D9C"/>
    <w:rsid w:val="005760C5"/>
    <w:rsid w:val="00576288"/>
    <w:rsid w:val="00576592"/>
    <w:rsid w:val="005766EA"/>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B18"/>
    <w:rsid w:val="00580D4B"/>
    <w:rsid w:val="00580DF5"/>
    <w:rsid w:val="00581081"/>
    <w:rsid w:val="00581124"/>
    <w:rsid w:val="005815D2"/>
    <w:rsid w:val="005816C5"/>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983"/>
    <w:rsid w:val="00587A65"/>
    <w:rsid w:val="00587AF2"/>
    <w:rsid w:val="00587B08"/>
    <w:rsid w:val="00587CC4"/>
    <w:rsid w:val="0059027C"/>
    <w:rsid w:val="0059059E"/>
    <w:rsid w:val="005909AD"/>
    <w:rsid w:val="00590A68"/>
    <w:rsid w:val="00590BF6"/>
    <w:rsid w:val="00590D24"/>
    <w:rsid w:val="00591A44"/>
    <w:rsid w:val="00591B9C"/>
    <w:rsid w:val="00592160"/>
    <w:rsid w:val="00592184"/>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2E1"/>
    <w:rsid w:val="00595308"/>
    <w:rsid w:val="00595777"/>
    <w:rsid w:val="00595DA2"/>
    <w:rsid w:val="00595E51"/>
    <w:rsid w:val="00595E99"/>
    <w:rsid w:val="00596308"/>
    <w:rsid w:val="0059640C"/>
    <w:rsid w:val="0059685F"/>
    <w:rsid w:val="005968C4"/>
    <w:rsid w:val="00596BCA"/>
    <w:rsid w:val="00596F24"/>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88D"/>
    <w:rsid w:val="005A59CF"/>
    <w:rsid w:val="005A5B25"/>
    <w:rsid w:val="005A6223"/>
    <w:rsid w:val="005A6500"/>
    <w:rsid w:val="005A682E"/>
    <w:rsid w:val="005A6A3A"/>
    <w:rsid w:val="005A6E87"/>
    <w:rsid w:val="005A6F81"/>
    <w:rsid w:val="005A7F72"/>
    <w:rsid w:val="005A7FE1"/>
    <w:rsid w:val="005B0665"/>
    <w:rsid w:val="005B0A7D"/>
    <w:rsid w:val="005B0F18"/>
    <w:rsid w:val="005B105B"/>
    <w:rsid w:val="005B1197"/>
    <w:rsid w:val="005B152E"/>
    <w:rsid w:val="005B16CC"/>
    <w:rsid w:val="005B18BB"/>
    <w:rsid w:val="005B1970"/>
    <w:rsid w:val="005B1D24"/>
    <w:rsid w:val="005B24F2"/>
    <w:rsid w:val="005B25EE"/>
    <w:rsid w:val="005B26CB"/>
    <w:rsid w:val="005B2899"/>
    <w:rsid w:val="005B2DA2"/>
    <w:rsid w:val="005B2EB8"/>
    <w:rsid w:val="005B30F2"/>
    <w:rsid w:val="005B355C"/>
    <w:rsid w:val="005B3C7C"/>
    <w:rsid w:val="005B411A"/>
    <w:rsid w:val="005B433A"/>
    <w:rsid w:val="005B4911"/>
    <w:rsid w:val="005B499D"/>
    <w:rsid w:val="005B4B9D"/>
    <w:rsid w:val="005B4C5C"/>
    <w:rsid w:val="005B4C80"/>
    <w:rsid w:val="005B4C83"/>
    <w:rsid w:val="005B4D71"/>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245"/>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C7B"/>
    <w:rsid w:val="005D2CB0"/>
    <w:rsid w:val="005D2D5D"/>
    <w:rsid w:val="005D2EE8"/>
    <w:rsid w:val="005D3534"/>
    <w:rsid w:val="005D3548"/>
    <w:rsid w:val="005D3707"/>
    <w:rsid w:val="005D382F"/>
    <w:rsid w:val="005D387D"/>
    <w:rsid w:val="005D3AF0"/>
    <w:rsid w:val="005D3B9F"/>
    <w:rsid w:val="005D3BFD"/>
    <w:rsid w:val="005D406F"/>
    <w:rsid w:val="005D46D5"/>
    <w:rsid w:val="005D46E9"/>
    <w:rsid w:val="005D5012"/>
    <w:rsid w:val="005D551F"/>
    <w:rsid w:val="005D569B"/>
    <w:rsid w:val="005D582C"/>
    <w:rsid w:val="005D5B37"/>
    <w:rsid w:val="005D5CE6"/>
    <w:rsid w:val="005D5DF8"/>
    <w:rsid w:val="005D5E0B"/>
    <w:rsid w:val="005D5E46"/>
    <w:rsid w:val="005D5F02"/>
    <w:rsid w:val="005D609E"/>
    <w:rsid w:val="005D6129"/>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3F1A"/>
    <w:rsid w:val="005E414B"/>
    <w:rsid w:val="005E453F"/>
    <w:rsid w:val="005E46FA"/>
    <w:rsid w:val="005E48F7"/>
    <w:rsid w:val="005E4CCB"/>
    <w:rsid w:val="005E4E67"/>
    <w:rsid w:val="005E5563"/>
    <w:rsid w:val="005E59C5"/>
    <w:rsid w:val="005E5E74"/>
    <w:rsid w:val="005E5FD5"/>
    <w:rsid w:val="005E66F1"/>
    <w:rsid w:val="005E6718"/>
    <w:rsid w:val="005E6AFB"/>
    <w:rsid w:val="005E6C10"/>
    <w:rsid w:val="005E7553"/>
    <w:rsid w:val="005E7617"/>
    <w:rsid w:val="005E7698"/>
    <w:rsid w:val="005E7849"/>
    <w:rsid w:val="005E7888"/>
    <w:rsid w:val="005E7A8C"/>
    <w:rsid w:val="005E7C01"/>
    <w:rsid w:val="005F0013"/>
    <w:rsid w:val="005F00CC"/>
    <w:rsid w:val="005F06FA"/>
    <w:rsid w:val="005F06FD"/>
    <w:rsid w:val="005F0AB9"/>
    <w:rsid w:val="005F0B4C"/>
    <w:rsid w:val="005F0B53"/>
    <w:rsid w:val="005F0C46"/>
    <w:rsid w:val="005F0F95"/>
    <w:rsid w:val="005F10DB"/>
    <w:rsid w:val="005F1BB2"/>
    <w:rsid w:val="005F1FE4"/>
    <w:rsid w:val="005F2528"/>
    <w:rsid w:val="005F2C58"/>
    <w:rsid w:val="005F35A9"/>
    <w:rsid w:val="005F3616"/>
    <w:rsid w:val="005F369B"/>
    <w:rsid w:val="005F3955"/>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44"/>
    <w:rsid w:val="006027D5"/>
    <w:rsid w:val="0060305B"/>
    <w:rsid w:val="00603816"/>
    <w:rsid w:val="006039C5"/>
    <w:rsid w:val="00603B1B"/>
    <w:rsid w:val="00603D85"/>
    <w:rsid w:val="00603F2E"/>
    <w:rsid w:val="00604265"/>
    <w:rsid w:val="006043B3"/>
    <w:rsid w:val="006043D7"/>
    <w:rsid w:val="00604594"/>
    <w:rsid w:val="00604708"/>
    <w:rsid w:val="00604987"/>
    <w:rsid w:val="00604BE6"/>
    <w:rsid w:val="00604CFF"/>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1CE"/>
    <w:rsid w:val="00610224"/>
    <w:rsid w:val="006102C6"/>
    <w:rsid w:val="006103F0"/>
    <w:rsid w:val="00610B78"/>
    <w:rsid w:val="00610F0A"/>
    <w:rsid w:val="00610FA4"/>
    <w:rsid w:val="006113A9"/>
    <w:rsid w:val="00611876"/>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3F9"/>
    <w:rsid w:val="00616885"/>
    <w:rsid w:val="00616F90"/>
    <w:rsid w:val="0061717B"/>
    <w:rsid w:val="0061717F"/>
    <w:rsid w:val="006175CF"/>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406"/>
    <w:rsid w:val="00625B24"/>
    <w:rsid w:val="00625D40"/>
    <w:rsid w:val="0062656C"/>
    <w:rsid w:val="0062657C"/>
    <w:rsid w:val="0062666D"/>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720A"/>
    <w:rsid w:val="00637369"/>
    <w:rsid w:val="006373C7"/>
    <w:rsid w:val="006379A4"/>
    <w:rsid w:val="00637D8D"/>
    <w:rsid w:val="00637DDD"/>
    <w:rsid w:val="00637E00"/>
    <w:rsid w:val="0064017F"/>
    <w:rsid w:val="006401C6"/>
    <w:rsid w:val="00640207"/>
    <w:rsid w:val="00640222"/>
    <w:rsid w:val="00640552"/>
    <w:rsid w:val="006406A6"/>
    <w:rsid w:val="006409F3"/>
    <w:rsid w:val="00641061"/>
    <w:rsid w:val="006411DF"/>
    <w:rsid w:val="00641597"/>
    <w:rsid w:val="00641696"/>
    <w:rsid w:val="006418DB"/>
    <w:rsid w:val="006419ED"/>
    <w:rsid w:val="00641D01"/>
    <w:rsid w:val="0064252F"/>
    <w:rsid w:val="006427DE"/>
    <w:rsid w:val="00642C85"/>
    <w:rsid w:val="00642D10"/>
    <w:rsid w:val="00642E65"/>
    <w:rsid w:val="00643769"/>
    <w:rsid w:val="00643891"/>
    <w:rsid w:val="00643DCD"/>
    <w:rsid w:val="00644200"/>
    <w:rsid w:val="0064428B"/>
    <w:rsid w:val="00644511"/>
    <w:rsid w:val="00644736"/>
    <w:rsid w:val="0064486C"/>
    <w:rsid w:val="00644E60"/>
    <w:rsid w:val="00644F33"/>
    <w:rsid w:val="006450DA"/>
    <w:rsid w:val="00645190"/>
    <w:rsid w:val="00645ACC"/>
    <w:rsid w:val="00645C50"/>
    <w:rsid w:val="0064655B"/>
    <w:rsid w:val="006466B5"/>
    <w:rsid w:val="0064674C"/>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C8E"/>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F9"/>
    <w:rsid w:val="00655780"/>
    <w:rsid w:val="0065594D"/>
    <w:rsid w:val="006561FF"/>
    <w:rsid w:val="00656D6F"/>
    <w:rsid w:val="00657005"/>
    <w:rsid w:val="006572FB"/>
    <w:rsid w:val="006578D9"/>
    <w:rsid w:val="00657F67"/>
    <w:rsid w:val="006605DC"/>
    <w:rsid w:val="006611F6"/>
    <w:rsid w:val="0066146F"/>
    <w:rsid w:val="00661636"/>
    <w:rsid w:val="00661C4E"/>
    <w:rsid w:val="00661CC2"/>
    <w:rsid w:val="00662166"/>
    <w:rsid w:val="006621B8"/>
    <w:rsid w:val="006622B7"/>
    <w:rsid w:val="00662BB1"/>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58D"/>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A5C"/>
    <w:rsid w:val="00693F0A"/>
    <w:rsid w:val="0069447C"/>
    <w:rsid w:val="0069463D"/>
    <w:rsid w:val="006949AD"/>
    <w:rsid w:val="00694A23"/>
    <w:rsid w:val="00694A74"/>
    <w:rsid w:val="00694E1F"/>
    <w:rsid w:val="00694FDA"/>
    <w:rsid w:val="0069520C"/>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408"/>
    <w:rsid w:val="006A6B3F"/>
    <w:rsid w:val="006A6B69"/>
    <w:rsid w:val="006A74C0"/>
    <w:rsid w:val="006A7574"/>
    <w:rsid w:val="006A78D9"/>
    <w:rsid w:val="006A7AC4"/>
    <w:rsid w:val="006A7B4E"/>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A1"/>
    <w:rsid w:val="006B401E"/>
    <w:rsid w:val="006B4760"/>
    <w:rsid w:val="006B5111"/>
    <w:rsid w:val="006B55DA"/>
    <w:rsid w:val="006B5678"/>
    <w:rsid w:val="006B6346"/>
    <w:rsid w:val="006B66F6"/>
    <w:rsid w:val="006B68AC"/>
    <w:rsid w:val="006B6AD0"/>
    <w:rsid w:val="006B6B52"/>
    <w:rsid w:val="006B6B72"/>
    <w:rsid w:val="006B6BA3"/>
    <w:rsid w:val="006B6BD6"/>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868"/>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369"/>
    <w:rsid w:val="006D35CD"/>
    <w:rsid w:val="006D3A03"/>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668"/>
    <w:rsid w:val="006E27BB"/>
    <w:rsid w:val="006E3B91"/>
    <w:rsid w:val="006E3CA4"/>
    <w:rsid w:val="006E3D3A"/>
    <w:rsid w:val="006E4085"/>
    <w:rsid w:val="006E4646"/>
    <w:rsid w:val="006E499F"/>
    <w:rsid w:val="006E512D"/>
    <w:rsid w:val="006E5196"/>
    <w:rsid w:val="006E5477"/>
    <w:rsid w:val="006E554E"/>
    <w:rsid w:val="006E5AFE"/>
    <w:rsid w:val="006E61EE"/>
    <w:rsid w:val="006E62CA"/>
    <w:rsid w:val="006E696A"/>
    <w:rsid w:val="006E6C33"/>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8E7"/>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4A4"/>
    <w:rsid w:val="006F7A92"/>
    <w:rsid w:val="006F7E42"/>
    <w:rsid w:val="006F7F66"/>
    <w:rsid w:val="00700042"/>
    <w:rsid w:val="0070013F"/>
    <w:rsid w:val="0070023A"/>
    <w:rsid w:val="0070063F"/>
    <w:rsid w:val="00700870"/>
    <w:rsid w:val="0070124B"/>
    <w:rsid w:val="007012EC"/>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17F06"/>
    <w:rsid w:val="00720759"/>
    <w:rsid w:val="00720A0C"/>
    <w:rsid w:val="007215A9"/>
    <w:rsid w:val="007216B7"/>
    <w:rsid w:val="0072190B"/>
    <w:rsid w:val="00721C7B"/>
    <w:rsid w:val="00721CB7"/>
    <w:rsid w:val="00721D59"/>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426"/>
    <w:rsid w:val="00724437"/>
    <w:rsid w:val="007244BA"/>
    <w:rsid w:val="007245F9"/>
    <w:rsid w:val="0072461A"/>
    <w:rsid w:val="007249F6"/>
    <w:rsid w:val="00724C2A"/>
    <w:rsid w:val="00725039"/>
    <w:rsid w:val="0072504C"/>
    <w:rsid w:val="00725068"/>
    <w:rsid w:val="0072560E"/>
    <w:rsid w:val="00725A4F"/>
    <w:rsid w:val="00725CB6"/>
    <w:rsid w:val="00725CDC"/>
    <w:rsid w:val="00726281"/>
    <w:rsid w:val="0072650B"/>
    <w:rsid w:val="00726537"/>
    <w:rsid w:val="0072665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51F6"/>
    <w:rsid w:val="0073532A"/>
    <w:rsid w:val="00735773"/>
    <w:rsid w:val="00735AB5"/>
    <w:rsid w:val="00735E35"/>
    <w:rsid w:val="0073618D"/>
    <w:rsid w:val="00736264"/>
    <w:rsid w:val="0073637C"/>
    <w:rsid w:val="00736886"/>
    <w:rsid w:val="00736D7B"/>
    <w:rsid w:val="0073739A"/>
    <w:rsid w:val="007377ED"/>
    <w:rsid w:val="007378B8"/>
    <w:rsid w:val="007379C8"/>
    <w:rsid w:val="00737C64"/>
    <w:rsid w:val="007406A2"/>
    <w:rsid w:val="007406C0"/>
    <w:rsid w:val="00740AC1"/>
    <w:rsid w:val="00740B5C"/>
    <w:rsid w:val="00740BF9"/>
    <w:rsid w:val="0074108B"/>
    <w:rsid w:val="00741434"/>
    <w:rsid w:val="007415B6"/>
    <w:rsid w:val="00741A56"/>
    <w:rsid w:val="00741A6E"/>
    <w:rsid w:val="00741E0C"/>
    <w:rsid w:val="007420C9"/>
    <w:rsid w:val="007422C2"/>
    <w:rsid w:val="00742663"/>
    <w:rsid w:val="00742695"/>
    <w:rsid w:val="00742A51"/>
    <w:rsid w:val="00742CEA"/>
    <w:rsid w:val="0074321C"/>
    <w:rsid w:val="00743468"/>
    <w:rsid w:val="007436B1"/>
    <w:rsid w:val="007436D5"/>
    <w:rsid w:val="00743867"/>
    <w:rsid w:val="00743A81"/>
    <w:rsid w:val="00744055"/>
    <w:rsid w:val="0074443A"/>
    <w:rsid w:val="0074475B"/>
    <w:rsid w:val="0074482F"/>
    <w:rsid w:val="00744BBD"/>
    <w:rsid w:val="00744CAC"/>
    <w:rsid w:val="00744E4F"/>
    <w:rsid w:val="0074544C"/>
    <w:rsid w:val="0074576E"/>
    <w:rsid w:val="007458E7"/>
    <w:rsid w:val="00745CF2"/>
    <w:rsid w:val="00745EBB"/>
    <w:rsid w:val="0074602C"/>
    <w:rsid w:val="00746167"/>
    <w:rsid w:val="00746199"/>
    <w:rsid w:val="007461BD"/>
    <w:rsid w:val="007468A2"/>
    <w:rsid w:val="00746B2B"/>
    <w:rsid w:val="007470D7"/>
    <w:rsid w:val="00747446"/>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49"/>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D59"/>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49D"/>
    <w:rsid w:val="00764515"/>
    <w:rsid w:val="00764B51"/>
    <w:rsid w:val="00764EB8"/>
    <w:rsid w:val="00765098"/>
    <w:rsid w:val="007650A8"/>
    <w:rsid w:val="0076524D"/>
    <w:rsid w:val="00765389"/>
    <w:rsid w:val="0076539C"/>
    <w:rsid w:val="0076540A"/>
    <w:rsid w:val="00765551"/>
    <w:rsid w:val="00765825"/>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928"/>
    <w:rsid w:val="00772C49"/>
    <w:rsid w:val="00772D15"/>
    <w:rsid w:val="00772DC3"/>
    <w:rsid w:val="007733C4"/>
    <w:rsid w:val="0077357B"/>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3AFE"/>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16B"/>
    <w:rsid w:val="007947B6"/>
    <w:rsid w:val="007947FB"/>
    <w:rsid w:val="00794DC6"/>
    <w:rsid w:val="00794DFE"/>
    <w:rsid w:val="007954AC"/>
    <w:rsid w:val="007954BB"/>
    <w:rsid w:val="00795760"/>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E7D"/>
    <w:rsid w:val="007A6FA5"/>
    <w:rsid w:val="007A7228"/>
    <w:rsid w:val="007A75A3"/>
    <w:rsid w:val="007A7AD5"/>
    <w:rsid w:val="007A7DB8"/>
    <w:rsid w:val="007A7E07"/>
    <w:rsid w:val="007B0176"/>
    <w:rsid w:val="007B0253"/>
    <w:rsid w:val="007B04BA"/>
    <w:rsid w:val="007B073B"/>
    <w:rsid w:val="007B0953"/>
    <w:rsid w:val="007B1061"/>
    <w:rsid w:val="007B11C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7A8"/>
    <w:rsid w:val="007C198E"/>
    <w:rsid w:val="007C1B94"/>
    <w:rsid w:val="007C1C1B"/>
    <w:rsid w:val="007C1DFC"/>
    <w:rsid w:val="007C26FF"/>
    <w:rsid w:val="007C2A39"/>
    <w:rsid w:val="007C2AAF"/>
    <w:rsid w:val="007C2B1C"/>
    <w:rsid w:val="007C2B91"/>
    <w:rsid w:val="007C2BDC"/>
    <w:rsid w:val="007C301B"/>
    <w:rsid w:val="007C3045"/>
    <w:rsid w:val="007C3077"/>
    <w:rsid w:val="007C32C4"/>
    <w:rsid w:val="007C366E"/>
    <w:rsid w:val="007C372D"/>
    <w:rsid w:val="007C396D"/>
    <w:rsid w:val="007C3C22"/>
    <w:rsid w:val="007C3C42"/>
    <w:rsid w:val="007C3C91"/>
    <w:rsid w:val="007C3D88"/>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7A7"/>
    <w:rsid w:val="007C6859"/>
    <w:rsid w:val="007C6939"/>
    <w:rsid w:val="007C6941"/>
    <w:rsid w:val="007C6D8A"/>
    <w:rsid w:val="007C6E75"/>
    <w:rsid w:val="007C6FFC"/>
    <w:rsid w:val="007C7201"/>
    <w:rsid w:val="007C74B6"/>
    <w:rsid w:val="007C7567"/>
    <w:rsid w:val="007C7578"/>
    <w:rsid w:val="007C779D"/>
    <w:rsid w:val="007C7974"/>
    <w:rsid w:val="007C7BC8"/>
    <w:rsid w:val="007C7C4E"/>
    <w:rsid w:val="007C7EF3"/>
    <w:rsid w:val="007C7FEF"/>
    <w:rsid w:val="007D020B"/>
    <w:rsid w:val="007D02A6"/>
    <w:rsid w:val="007D0645"/>
    <w:rsid w:val="007D098C"/>
    <w:rsid w:val="007D0AD1"/>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505"/>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522"/>
    <w:rsid w:val="007D7696"/>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0C5"/>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13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BF8"/>
    <w:rsid w:val="007F54CD"/>
    <w:rsid w:val="007F5605"/>
    <w:rsid w:val="007F5608"/>
    <w:rsid w:val="007F56C7"/>
    <w:rsid w:val="007F5874"/>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1C2"/>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424"/>
    <w:rsid w:val="00822544"/>
    <w:rsid w:val="008226FF"/>
    <w:rsid w:val="00822947"/>
    <w:rsid w:val="00822B04"/>
    <w:rsid w:val="00823335"/>
    <w:rsid w:val="008235E4"/>
    <w:rsid w:val="0082374A"/>
    <w:rsid w:val="008237B2"/>
    <w:rsid w:val="00823B2A"/>
    <w:rsid w:val="00823F61"/>
    <w:rsid w:val="00824310"/>
    <w:rsid w:val="0082449E"/>
    <w:rsid w:val="0082454D"/>
    <w:rsid w:val="008247A4"/>
    <w:rsid w:val="008249FF"/>
    <w:rsid w:val="008251EC"/>
    <w:rsid w:val="0082531E"/>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A41"/>
    <w:rsid w:val="00827A8C"/>
    <w:rsid w:val="00827AF3"/>
    <w:rsid w:val="00827C3A"/>
    <w:rsid w:val="008302CC"/>
    <w:rsid w:val="0083179C"/>
    <w:rsid w:val="008317BB"/>
    <w:rsid w:val="00831F85"/>
    <w:rsid w:val="00832142"/>
    <w:rsid w:val="00832C18"/>
    <w:rsid w:val="00832CAF"/>
    <w:rsid w:val="0083311A"/>
    <w:rsid w:val="0083333C"/>
    <w:rsid w:val="00833AE8"/>
    <w:rsid w:val="0083417A"/>
    <w:rsid w:val="00834512"/>
    <w:rsid w:val="008349E7"/>
    <w:rsid w:val="0083502E"/>
    <w:rsid w:val="008350E9"/>
    <w:rsid w:val="008353FF"/>
    <w:rsid w:val="00835461"/>
    <w:rsid w:val="00835B82"/>
    <w:rsid w:val="00835C7B"/>
    <w:rsid w:val="00835F1B"/>
    <w:rsid w:val="00836133"/>
    <w:rsid w:val="008364B5"/>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3CFB"/>
    <w:rsid w:val="00854090"/>
    <w:rsid w:val="008540C8"/>
    <w:rsid w:val="008547FC"/>
    <w:rsid w:val="00854983"/>
    <w:rsid w:val="00854A91"/>
    <w:rsid w:val="00854AD5"/>
    <w:rsid w:val="00854B93"/>
    <w:rsid w:val="00854C47"/>
    <w:rsid w:val="00854E0E"/>
    <w:rsid w:val="008553CA"/>
    <w:rsid w:val="00855489"/>
    <w:rsid w:val="00855645"/>
    <w:rsid w:val="00856183"/>
    <w:rsid w:val="00856301"/>
    <w:rsid w:val="008569DF"/>
    <w:rsid w:val="00856D2B"/>
    <w:rsid w:val="00856E07"/>
    <w:rsid w:val="00856E4A"/>
    <w:rsid w:val="0085722A"/>
    <w:rsid w:val="00857686"/>
    <w:rsid w:val="00857877"/>
    <w:rsid w:val="00857C34"/>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BFD"/>
    <w:rsid w:val="00866D23"/>
    <w:rsid w:val="00866FEA"/>
    <w:rsid w:val="00867255"/>
    <w:rsid w:val="00867447"/>
    <w:rsid w:val="0086776C"/>
    <w:rsid w:val="008678F0"/>
    <w:rsid w:val="00867E39"/>
    <w:rsid w:val="00870018"/>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E3D"/>
    <w:rsid w:val="00883ED6"/>
    <w:rsid w:val="00883FB8"/>
    <w:rsid w:val="00884255"/>
    <w:rsid w:val="0088425B"/>
    <w:rsid w:val="00884447"/>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5DC8"/>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7C7"/>
    <w:rsid w:val="008A0AD8"/>
    <w:rsid w:val="008A0CE2"/>
    <w:rsid w:val="008A12FF"/>
    <w:rsid w:val="008A1C65"/>
    <w:rsid w:val="008A1EA1"/>
    <w:rsid w:val="008A1FBC"/>
    <w:rsid w:val="008A2233"/>
    <w:rsid w:val="008A24BD"/>
    <w:rsid w:val="008A27D4"/>
    <w:rsid w:val="008A294D"/>
    <w:rsid w:val="008A2AAE"/>
    <w:rsid w:val="008A2EEF"/>
    <w:rsid w:val="008A2F26"/>
    <w:rsid w:val="008A33B0"/>
    <w:rsid w:val="008A3695"/>
    <w:rsid w:val="008A36ED"/>
    <w:rsid w:val="008A3898"/>
    <w:rsid w:val="008A394E"/>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DA0"/>
    <w:rsid w:val="008A6F9D"/>
    <w:rsid w:val="008A72A4"/>
    <w:rsid w:val="008A758D"/>
    <w:rsid w:val="008A75C5"/>
    <w:rsid w:val="008A7669"/>
    <w:rsid w:val="008A76CB"/>
    <w:rsid w:val="008A7819"/>
    <w:rsid w:val="008A7B15"/>
    <w:rsid w:val="008A7BFD"/>
    <w:rsid w:val="008A7C9F"/>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B7B50"/>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4211"/>
    <w:rsid w:val="008C46A8"/>
    <w:rsid w:val="008C4B47"/>
    <w:rsid w:val="008C4C6A"/>
    <w:rsid w:val="008C5392"/>
    <w:rsid w:val="008C53CB"/>
    <w:rsid w:val="008C570A"/>
    <w:rsid w:val="008C5905"/>
    <w:rsid w:val="008C5925"/>
    <w:rsid w:val="008C59AC"/>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C80"/>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BA0"/>
    <w:rsid w:val="008E1CA9"/>
    <w:rsid w:val="008E1FDF"/>
    <w:rsid w:val="008E2051"/>
    <w:rsid w:val="008E20D6"/>
    <w:rsid w:val="008E20EC"/>
    <w:rsid w:val="008E225F"/>
    <w:rsid w:val="008E2562"/>
    <w:rsid w:val="008E2B47"/>
    <w:rsid w:val="008E2E73"/>
    <w:rsid w:val="008E2E8C"/>
    <w:rsid w:val="008E335A"/>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5A"/>
    <w:rsid w:val="008E5E6D"/>
    <w:rsid w:val="008E61CF"/>
    <w:rsid w:val="008E624A"/>
    <w:rsid w:val="008E6788"/>
    <w:rsid w:val="008E69F3"/>
    <w:rsid w:val="008E7084"/>
    <w:rsid w:val="008E72F4"/>
    <w:rsid w:val="008E736A"/>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C4A"/>
    <w:rsid w:val="008F6CD1"/>
    <w:rsid w:val="008F6ED8"/>
    <w:rsid w:val="008F6FBB"/>
    <w:rsid w:val="008F7088"/>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423"/>
    <w:rsid w:val="00905A06"/>
    <w:rsid w:val="00905C15"/>
    <w:rsid w:val="00905F49"/>
    <w:rsid w:val="00906100"/>
    <w:rsid w:val="009064F9"/>
    <w:rsid w:val="009067B8"/>
    <w:rsid w:val="00906EED"/>
    <w:rsid w:val="00907071"/>
    <w:rsid w:val="0090715C"/>
    <w:rsid w:val="009076AC"/>
    <w:rsid w:val="00907B9F"/>
    <w:rsid w:val="00907BEE"/>
    <w:rsid w:val="00907FFD"/>
    <w:rsid w:val="009104D1"/>
    <w:rsid w:val="0091063E"/>
    <w:rsid w:val="00910874"/>
    <w:rsid w:val="009108A7"/>
    <w:rsid w:val="009109A6"/>
    <w:rsid w:val="00910EF2"/>
    <w:rsid w:val="00911A5A"/>
    <w:rsid w:val="00911E1A"/>
    <w:rsid w:val="00911F6E"/>
    <w:rsid w:val="0091225D"/>
    <w:rsid w:val="009123B9"/>
    <w:rsid w:val="009128D3"/>
    <w:rsid w:val="00912A63"/>
    <w:rsid w:val="00912A8D"/>
    <w:rsid w:val="00912A96"/>
    <w:rsid w:val="00912B0A"/>
    <w:rsid w:val="00912F6D"/>
    <w:rsid w:val="00913329"/>
    <w:rsid w:val="009137C1"/>
    <w:rsid w:val="00913AF7"/>
    <w:rsid w:val="00913B67"/>
    <w:rsid w:val="00913BD0"/>
    <w:rsid w:val="00913C97"/>
    <w:rsid w:val="00913F4C"/>
    <w:rsid w:val="0091404B"/>
    <w:rsid w:val="00914127"/>
    <w:rsid w:val="00914215"/>
    <w:rsid w:val="0091423A"/>
    <w:rsid w:val="00914445"/>
    <w:rsid w:val="00914A33"/>
    <w:rsid w:val="00914A5D"/>
    <w:rsid w:val="00915032"/>
    <w:rsid w:val="00915143"/>
    <w:rsid w:val="009151C0"/>
    <w:rsid w:val="009151DE"/>
    <w:rsid w:val="0091537E"/>
    <w:rsid w:val="00915399"/>
    <w:rsid w:val="009154BD"/>
    <w:rsid w:val="00915650"/>
    <w:rsid w:val="00915BBD"/>
    <w:rsid w:val="0091610F"/>
    <w:rsid w:val="009161BA"/>
    <w:rsid w:val="00916A23"/>
    <w:rsid w:val="00917619"/>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697"/>
    <w:rsid w:val="00933D61"/>
    <w:rsid w:val="00933DE4"/>
    <w:rsid w:val="00933F4A"/>
    <w:rsid w:val="00934044"/>
    <w:rsid w:val="009342DF"/>
    <w:rsid w:val="00934760"/>
    <w:rsid w:val="00934AEC"/>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599"/>
    <w:rsid w:val="00941813"/>
    <w:rsid w:val="00941A1C"/>
    <w:rsid w:val="00941B97"/>
    <w:rsid w:val="00941D4A"/>
    <w:rsid w:val="009421B3"/>
    <w:rsid w:val="00942222"/>
    <w:rsid w:val="00942799"/>
    <w:rsid w:val="00942BB8"/>
    <w:rsid w:val="00942E21"/>
    <w:rsid w:val="00942EF9"/>
    <w:rsid w:val="009431A9"/>
    <w:rsid w:val="0094335F"/>
    <w:rsid w:val="0094376F"/>
    <w:rsid w:val="00943DD8"/>
    <w:rsid w:val="00943FD3"/>
    <w:rsid w:val="00944202"/>
    <w:rsid w:val="00944335"/>
    <w:rsid w:val="0094484A"/>
    <w:rsid w:val="00944AF4"/>
    <w:rsid w:val="00944CB5"/>
    <w:rsid w:val="009458F7"/>
    <w:rsid w:val="00945A9C"/>
    <w:rsid w:val="00945E49"/>
    <w:rsid w:val="009462D8"/>
    <w:rsid w:val="0094632B"/>
    <w:rsid w:val="00946388"/>
    <w:rsid w:val="0094663A"/>
    <w:rsid w:val="00946AA5"/>
    <w:rsid w:val="00946C4B"/>
    <w:rsid w:val="009478ED"/>
    <w:rsid w:val="009479E5"/>
    <w:rsid w:val="00947D66"/>
    <w:rsid w:val="00947DCF"/>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61D"/>
    <w:rsid w:val="00952ACA"/>
    <w:rsid w:val="00952C70"/>
    <w:rsid w:val="00952DF8"/>
    <w:rsid w:val="00953424"/>
    <w:rsid w:val="00953436"/>
    <w:rsid w:val="009537A7"/>
    <w:rsid w:val="00953B1F"/>
    <w:rsid w:val="00953C21"/>
    <w:rsid w:val="009545A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565"/>
    <w:rsid w:val="00964D63"/>
    <w:rsid w:val="00964E34"/>
    <w:rsid w:val="00964E3C"/>
    <w:rsid w:val="00964E69"/>
    <w:rsid w:val="0096504D"/>
    <w:rsid w:val="0096520E"/>
    <w:rsid w:val="009654F0"/>
    <w:rsid w:val="009659EA"/>
    <w:rsid w:val="00966851"/>
    <w:rsid w:val="0096691D"/>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68"/>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77E"/>
    <w:rsid w:val="00975C8A"/>
    <w:rsid w:val="009765C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78B"/>
    <w:rsid w:val="00984C8E"/>
    <w:rsid w:val="0098511E"/>
    <w:rsid w:val="00985133"/>
    <w:rsid w:val="0098541D"/>
    <w:rsid w:val="00985BA2"/>
    <w:rsid w:val="00985CA4"/>
    <w:rsid w:val="00985E23"/>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3F"/>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321"/>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A0212"/>
    <w:rsid w:val="009A031F"/>
    <w:rsid w:val="009A035A"/>
    <w:rsid w:val="009A06AC"/>
    <w:rsid w:val="009A08F0"/>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7DF"/>
    <w:rsid w:val="009B1823"/>
    <w:rsid w:val="009B212A"/>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497"/>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9F5"/>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AE7"/>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E01"/>
    <w:rsid w:val="009D4F83"/>
    <w:rsid w:val="009D5260"/>
    <w:rsid w:val="009D5A45"/>
    <w:rsid w:val="009D5BBF"/>
    <w:rsid w:val="009D610C"/>
    <w:rsid w:val="009D62E7"/>
    <w:rsid w:val="009D632E"/>
    <w:rsid w:val="009D6624"/>
    <w:rsid w:val="009D67D5"/>
    <w:rsid w:val="009D6BF6"/>
    <w:rsid w:val="009D6D66"/>
    <w:rsid w:val="009D6EEF"/>
    <w:rsid w:val="009D6F4D"/>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BE6"/>
    <w:rsid w:val="009E2D17"/>
    <w:rsid w:val="009E2DD3"/>
    <w:rsid w:val="009E2EAE"/>
    <w:rsid w:val="009E2F97"/>
    <w:rsid w:val="009E3629"/>
    <w:rsid w:val="009E3644"/>
    <w:rsid w:val="009E3790"/>
    <w:rsid w:val="009E3C31"/>
    <w:rsid w:val="009E3DAA"/>
    <w:rsid w:val="009E457F"/>
    <w:rsid w:val="009E4673"/>
    <w:rsid w:val="009E4B10"/>
    <w:rsid w:val="009E4EC6"/>
    <w:rsid w:val="009E4FCC"/>
    <w:rsid w:val="009E50DC"/>
    <w:rsid w:val="009E54B9"/>
    <w:rsid w:val="009E5656"/>
    <w:rsid w:val="009E5AB4"/>
    <w:rsid w:val="009E641D"/>
    <w:rsid w:val="009E6A64"/>
    <w:rsid w:val="009E6FBA"/>
    <w:rsid w:val="009E6FC8"/>
    <w:rsid w:val="009E7230"/>
    <w:rsid w:val="009E723D"/>
    <w:rsid w:val="009E7789"/>
    <w:rsid w:val="009E7B03"/>
    <w:rsid w:val="009E7E9B"/>
    <w:rsid w:val="009E7F72"/>
    <w:rsid w:val="009F0258"/>
    <w:rsid w:val="009F02E1"/>
    <w:rsid w:val="009F03B2"/>
    <w:rsid w:val="009F056D"/>
    <w:rsid w:val="009F07FC"/>
    <w:rsid w:val="009F0992"/>
    <w:rsid w:val="009F0CD1"/>
    <w:rsid w:val="009F187B"/>
    <w:rsid w:val="009F1933"/>
    <w:rsid w:val="009F23E6"/>
    <w:rsid w:val="009F25CE"/>
    <w:rsid w:val="009F2A94"/>
    <w:rsid w:val="009F2AAF"/>
    <w:rsid w:val="009F2E7E"/>
    <w:rsid w:val="009F3858"/>
    <w:rsid w:val="009F39B2"/>
    <w:rsid w:val="009F3A4B"/>
    <w:rsid w:val="009F3D4B"/>
    <w:rsid w:val="009F4196"/>
    <w:rsid w:val="009F41E1"/>
    <w:rsid w:val="009F4308"/>
    <w:rsid w:val="009F431B"/>
    <w:rsid w:val="009F4375"/>
    <w:rsid w:val="009F483A"/>
    <w:rsid w:val="009F4C38"/>
    <w:rsid w:val="009F4D74"/>
    <w:rsid w:val="009F4F05"/>
    <w:rsid w:val="009F5350"/>
    <w:rsid w:val="009F5534"/>
    <w:rsid w:val="009F5606"/>
    <w:rsid w:val="009F58D3"/>
    <w:rsid w:val="009F5CA4"/>
    <w:rsid w:val="009F6410"/>
    <w:rsid w:val="009F6457"/>
    <w:rsid w:val="009F654D"/>
    <w:rsid w:val="009F7169"/>
    <w:rsid w:val="009F76AF"/>
    <w:rsid w:val="009F7883"/>
    <w:rsid w:val="009F79BE"/>
    <w:rsid w:val="009F7E2B"/>
    <w:rsid w:val="00A0018E"/>
    <w:rsid w:val="00A00B60"/>
    <w:rsid w:val="00A01006"/>
    <w:rsid w:val="00A016DA"/>
    <w:rsid w:val="00A0174B"/>
    <w:rsid w:val="00A018BB"/>
    <w:rsid w:val="00A01AE0"/>
    <w:rsid w:val="00A02B26"/>
    <w:rsid w:val="00A02BEC"/>
    <w:rsid w:val="00A02C96"/>
    <w:rsid w:val="00A02D52"/>
    <w:rsid w:val="00A02FBC"/>
    <w:rsid w:val="00A02FC3"/>
    <w:rsid w:val="00A03151"/>
    <w:rsid w:val="00A032C3"/>
    <w:rsid w:val="00A036D6"/>
    <w:rsid w:val="00A039F2"/>
    <w:rsid w:val="00A03A1D"/>
    <w:rsid w:val="00A03CC3"/>
    <w:rsid w:val="00A0410B"/>
    <w:rsid w:val="00A043B9"/>
    <w:rsid w:val="00A04541"/>
    <w:rsid w:val="00A04609"/>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2B"/>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DC0"/>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50B3"/>
    <w:rsid w:val="00A25296"/>
    <w:rsid w:val="00A253C6"/>
    <w:rsid w:val="00A2562D"/>
    <w:rsid w:val="00A257BF"/>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9C"/>
    <w:rsid w:val="00A27ECB"/>
    <w:rsid w:val="00A27EDA"/>
    <w:rsid w:val="00A27F94"/>
    <w:rsid w:val="00A30226"/>
    <w:rsid w:val="00A303B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685"/>
    <w:rsid w:val="00A34D92"/>
    <w:rsid w:val="00A34DA0"/>
    <w:rsid w:val="00A354AD"/>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AE5"/>
    <w:rsid w:val="00A42B87"/>
    <w:rsid w:val="00A42F7C"/>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509"/>
    <w:rsid w:val="00A46AE4"/>
    <w:rsid w:val="00A46AE6"/>
    <w:rsid w:val="00A46F68"/>
    <w:rsid w:val="00A46FAD"/>
    <w:rsid w:val="00A47293"/>
    <w:rsid w:val="00A47681"/>
    <w:rsid w:val="00A47B4B"/>
    <w:rsid w:val="00A47CC1"/>
    <w:rsid w:val="00A5044D"/>
    <w:rsid w:val="00A50B00"/>
    <w:rsid w:val="00A50D49"/>
    <w:rsid w:val="00A511FB"/>
    <w:rsid w:val="00A514EB"/>
    <w:rsid w:val="00A519C2"/>
    <w:rsid w:val="00A51C2A"/>
    <w:rsid w:val="00A521E0"/>
    <w:rsid w:val="00A52287"/>
    <w:rsid w:val="00A524C8"/>
    <w:rsid w:val="00A5291D"/>
    <w:rsid w:val="00A52BEF"/>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735"/>
    <w:rsid w:val="00A56C2C"/>
    <w:rsid w:val="00A56E3B"/>
    <w:rsid w:val="00A5702D"/>
    <w:rsid w:val="00A57311"/>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2F"/>
    <w:rsid w:val="00A6563A"/>
    <w:rsid w:val="00A657CF"/>
    <w:rsid w:val="00A65BC7"/>
    <w:rsid w:val="00A65C72"/>
    <w:rsid w:val="00A65D2F"/>
    <w:rsid w:val="00A65FBF"/>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5CE"/>
    <w:rsid w:val="00A726A3"/>
    <w:rsid w:val="00A726DE"/>
    <w:rsid w:val="00A73242"/>
    <w:rsid w:val="00A73873"/>
    <w:rsid w:val="00A738EF"/>
    <w:rsid w:val="00A739AB"/>
    <w:rsid w:val="00A73D0A"/>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F2"/>
    <w:rsid w:val="00A7707F"/>
    <w:rsid w:val="00A770A5"/>
    <w:rsid w:val="00A77333"/>
    <w:rsid w:val="00A7735F"/>
    <w:rsid w:val="00A7771C"/>
    <w:rsid w:val="00A77729"/>
    <w:rsid w:val="00A778AC"/>
    <w:rsid w:val="00A77FEA"/>
    <w:rsid w:val="00A806D6"/>
    <w:rsid w:val="00A81035"/>
    <w:rsid w:val="00A8135C"/>
    <w:rsid w:val="00A81633"/>
    <w:rsid w:val="00A81694"/>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40"/>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61D"/>
    <w:rsid w:val="00AA4A81"/>
    <w:rsid w:val="00AA4C09"/>
    <w:rsid w:val="00AA4F41"/>
    <w:rsid w:val="00AA52C3"/>
    <w:rsid w:val="00AA5584"/>
    <w:rsid w:val="00AA576F"/>
    <w:rsid w:val="00AA5A27"/>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2D7"/>
    <w:rsid w:val="00AC039F"/>
    <w:rsid w:val="00AC0746"/>
    <w:rsid w:val="00AC08C8"/>
    <w:rsid w:val="00AC0C66"/>
    <w:rsid w:val="00AC0CC3"/>
    <w:rsid w:val="00AC1281"/>
    <w:rsid w:val="00AC21BA"/>
    <w:rsid w:val="00AC22C7"/>
    <w:rsid w:val="00AC26C7"/>
    <w:rsid w:val="00AC279F"/>
    <w:rsid w:val="00AC2AFA"/>
    <w:rsid w:val="00AC2D4E"/>
    <w:rsid w:val="00AC3084"/>
    <w:rsid w:val="00AC3431"/>
    <w:rsid w:val="00AC35B1"/>
    <w:rsid w:val="00AC38E9"/>
    <w:rsid w:val="00AC45D6"/>
    <w:rsid w:val="00AC4CB6"/>
    <w:rsid w:val="00AC4D1B"/>
    <w:rsid w:val="00AC4D53"/>
    <w:rsid w:val="00AC4D9E"/>
    <w:rsid w:val="00AC4DDB"/>
    <w:rsid w:val="00AC4E2E"/>
    <w:rsid w:val="00AC4FDA"/>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438"/>
    <w:rsid w:val="00AD158C"/>
    <w:rsid w:val="00AD15CE"/>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311"/>
    <w:rsid w:val="00AD6980"/>
    <w:rsid w:val="00AD6C7F"/>
    <w:rsid w:val="00AD6C99"/>
    <w:rsid w:val="00AD7079"/>
    <w:rsid w:val="00AD70C9"/>
    <w:rsid w:val="00AD732B"/>
    <w:rsid w:val="00AD73EC"/>
    <w:rsid w:val="00AD75A6"/>
    <w:rsid w:val="00AD7927"/>
    <w:rsid w:val="00AD7E14"/>
    <w:rsid w:val="00AD7E17"/>
    <w:rsid w:val="00AE0160"/>
    <w:rsid w:val="00AE04AA"/>
    <w:rsid w:val="00AE078F"/>
    <w:rsid w:val="00AE09F6"/>
    <w:rsid w:val="00AE0D23"/>
    <w:rsid w:val="00AE0DD6"/>
    <w:rsid w:val="00AE0E9E"/>
    <w:rsid w:val="00AE14B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99E"/>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8A5"/>
    <w:rsid w:val="00AF3C80"/>
    <w:rsid w:val="00AF3C8C"/>
    <w:rsid w:val="00AF3F35"/>
    <w:rsid w:val="00AF404A"/>
    <w:rsid w:val="00AF4095"/>
    <w:rsid w:val="00AF40D2"/>
    <w:rsid w:val="00AF41FC"/>
    <w:rsid w:val="00AF4322"/>
    <w:rsid w:val="00AF4447"/>
    <w:rsid w:val="00AF457C"/>
    <w:rsid w:val="00AF4ABD"/>
    <w:rsid w:val="00AF4BBF"/>
    <w:rsid w:val="00AF4BE7"/>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A4B"/>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51B"/>
    <w:rsid w:val="00B05688"/>
    <w:rsid w:val="00B056A7"/>
    <w:rsid w:val="00B0588E"/>
    <w:rsid w:val="00B05BFF"/>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E29"/>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57B"/>
    <w:rsid w:val="00B27D54"/>
    <w:rsid w:val="00B30EB7"/>
    <w:rsid w:val="00B317EB"/>
    <w:rsid w:val="00B31DDA"/>
    <w:rsid w:val="00B31E5F"/>
    <w:rsid w:val="00B3205F"/>
    <w:rsid w:val="00B322A7"/>
    <w:rsid w:val="00B32405"/>
    <w:rsid w:val="00B32607"/>
    <w:rsid w:val="00B326BE"/>
    <w:rsid w:val="00B326D1"/>
    <w:rsid w:val="00B32D83"/>
    <w:rsid w:val="00B32EB5"/>
    <w:rsid w:val="00B32F7F"/>
    <w:rsid w:val="00B33126"/>
    <w:rsid w:val="00B33169"/>
    <w:rsid w:val="00B33452"/>
    <w:rsid w:val="00B338CE"/>
    <w:rsid w:val="00B3396B"/>
    <w:rsid w:val="00B33D7E"/>
    <w:rsid w:val="00B33F7C"/>
    <w:rsid w:val="00B34390"/>
    <w:rsid w:val="00B3442C"/>
    <w:rsid w:val="00B348A9"/>
    <w:rsid w:val="00B34B24"/>
    <w:rsid w:val="00B3539A"/>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30D3"/>
    <w:rsid w:val="00B43140"/>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B00"/>
    <w:rsid w:val="00B46D6D"/>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EF5"/>
    <w:rsid w:val="00B540BA"/>
    <w:rsid w:val="00B542BA"/>
    <w:rsid w:val="00B54989"/>
    <w:rsid w:val="00B54CC5"/>
    <w:rsid w:val="00B54F8C"/>
    <w:rsid w:val="00B550CC"/>
    <w:rsid w:val="00B5520D"/>
    <w:rsid w:val="00B553CF"/>
    <w:rsid w:val="00B555B8"/>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142"/>
    <w:rsid w:val="00B63870"/>
    <w:rsid w:val="00B63CA8"/>
    <w:rsid w:val="00B63F15"/>
    <w:rsid w:val="00B63F75"/>
    <w:rsid w:val="00B640AB"/>
    <w:rsid w:val="00B64124"/>
    <w:rsid w:val="00B64398"/>
    <w:rsid w:val="00B64484"/>
    <w:rsid w:val="00B645F8"/>
    <w:rsid w:val="00B648E0"/>
    <w:rsid w:val="00B64A44"/>
    <w:rsid w:val="00B652B0"/>
    <w:rsid w:val="00B65689"/>
    <w:rsid w:val="00B65771"/>
    <w:rsid w:val="00B65C65"/>
    <w:rsid w:val="00B65D2F"/>
    <w:rsid w:val="00B6603E"/>
    <w:rsid w:val="00B664EC"/>
    <w:rsid w:val="00B66801"/>
    <w:rsid w:val="00B668B4"/>
    <w:rsid w:val="00B66FFC"/>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4F57"/>
    <w:rsid w:val="00B75542"/>
    <w:rsid w:val="00B75667"/>
    <w:rsid w:val="00B756F6"/>
    <w:rsid w:val="00B7573F"/>
    <w:rsid w:val="00B75A5C"/>
    <w:rsid w:val="00B75CA8"/>
    <w:rsid w:val="00B763BF"/>
    <w:rsid w:val="00B7646F"/>
    <w:rsid w:val="00B76B8B"/>
    <w:rsid w:val="00B77062"/>
    <w:rsid w:val="00B7709F"/>
    <w:rsid w:val="00B770A1"/>
    <w:rsid w:val="00B770C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A02"/>
    <w:rsid w:val="00B80BE8"/>
    <w:rsid w:val="00B80F5B"/>
    <w:rsid w:val="00B811AD"/>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09F"/>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73D"/>
    <w:rsid w:val="00BC2BC7"/>
    <w:rsid w:val="00BC2ED9"/>
    <w:rsid w:val="00BC2F45"/>
    <w:rsid w:val="00BC344E"/>
    <w:rsid w:val="00BC38B8"/>
    <w:rsid w:val="00BC3CF8"/>
    <w:rsid w:val="00BC434D"/>
    <w:rsid w:val="00BC4699"/>
    <w:rsid w:val="00BC4B9C"/>
    <w:rsid w:val="00BC5181"/>
    <w:rsid w:val="00BC56C1"/>
    <w:rsid w:val="00BC59BE"/>
    <w:rsid w:val="00BC5CE2"/>
    <w:rsid w:val="00BC5F9A"/>
    <w:rsid w:val="00BC642E"/>
    <w:rsid w:val="00BC6742"/>
    <w:rsid w:val="00BC71C5"/>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74B"/>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698"/>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BB2"/>
    <w:rsid w:val="00BE4F02"/>
    <w:rsid w:val="00BE51C7"/>
    <w:rsid w:val="00BE5515"/>
    <w:rsid w:val="00BE5613"/>
    <w:rsid w:val="00BE5813"/>
    <w:rsid w:val="00BE5C18"/>
    <w:rsid w:val="00BE5C76"/>
    <w:rsid w:val="00BE5C7E"/>
    <w:rsid w:val="00BE5CD9"/>
    <w:rsid w:val="00BE5FE6"/>
    <w:rsid w:val="00BE65B3"/>
    <w:rsid w:val="00BE68B9"/>
    <w:rsid w:val="00BE7265"/>
    <w:rsid w:val="00BE753D"/>
    <w:rsid w:val="00BE7543"/>
    <w:rsid w:val="00BE7603"/>
    <w:rsid w:val="00BE7B27"/>
    <w:rsid w:val="00BE7B5E"/>
    <w:rsid w:val="00BE7F36"/>
    <w:rsid w:val="00BF02CC"/>
    <w:rsid w:val="00BF02E6"/>
    <w:rsid w:val="00BF0A66"/>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8F"/>
    <w:rsid w:val="00BF60E3"/>
    <w:rsid w:val="00BF6151"/>
    <w:rsid w:val="00BF6597"/>
    <w:rsid w:val="00BF6841"/>
    <w:rsid w:val="00BF68C1"/>
    <w:rsid w:val="00BF6FBF"/>
    <w:rsid w:val="00BF70A1"/>
    <w:rsid w:val="00BF70AB"/>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2F9A"/>
    <w:rsid w:val="00C03096"/>
    <w:rsid w:val="00C0316C"/>
    <w:rsid w:val="00C03444"/>
    <w:rsid w:val="00C03985"/>
    <w:rsid w:val="00C03B7B"/>
    <w:rsid w:val="00C03C30"/>
    <w:rsid w:val="00C03FF8"/>
    <w:rsid w:val="00C04339"/>
    <w:rsid w:val="00C04586"/>
    <w:rsid w:val="00C04668"/>
    <w:rsid w:val="00C04986"/>
    <w:rsid w:val="00C04C6C"/>
    <w:rsid w:val="00C04DE2"/>
    <w:rsid w:val="00C05172"/>
    <w:rsid w:val="00C05395"/>
    <w:rsid w:val="00C05702"/>
    <w:rsid w:val="00C057D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F2A"/>
    <w:rsid w:val="00C2146E"/>
    <w:rsid w:val="00C2199F"/>
    <w:rsid w:val="00C21FE3"/>
    <w:rsid w:val="00C226CE"/>
    <w:rsid w:val="00C22BC2"/>
    <w:rsid w:val="00C22F9A"/>
    <w:rsid w:val="00C232DD"/>
    <w:rsid w:val="00C23452"/>
    <w:rsid w:val="00C23CFA"/>
    <w:rsid w:val="00C2423A"/>
    <w:rsid w:val="00C244D8"/>
    <w:rsid w:val="00C24789"/>
    <w:rsid w:val="00C24EE5"/>
    <w:rsid w:val="00C250A4"/>
    <w:rsid w:val="00C250CF"/>
    <w:rsid w:val="00C25207"/>
    <w:rsid w:val="00C2544D"/>
    <w:rsid w:val="00C2545F"/>
    <w:rsid w:val="00C25954"/>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03"/>
    <w:rsid w:val="00C314DF"/>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15B"/>
    <w:rsid w:val="00C3463A"/>
    <w:rsid w:val="00C346BB"/>
    <w:rsid w:val="00C346C1"/>
    <w:rsid w:val="00C34BC5"/>
    <w:rsid w:val="00C34BDB"/>
    <w:rsid w:val="00C34C05"/>
    <w:rsid w:val="00C34CB6"/>
    <w:rsid w:val="00C34D39"/>
    <w:rsid w:val="00C34D4B"/>
    <w:rsid w:val="00C34F16"/>
    <w:rsid w:val="00C3566B"/>
    <w:rsid w:val="00C35B23"/>
    <w:rsid w:val="00C36050"/>
    <w:rsid w:val="00C361B0"/>
    <w:rsid w:val="00C367B9"/>
    <w:rsid w:val="00C36DAD"/>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31B4"/>
    <w:rsid w:val="00C53218"/>
    <w:rsid w:val="00C532EB"/>
    <w:rsid w:val="00C532F9"/>
    <w:rsid w:val="00C5368B"/>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C0D"/>
    <w:rsid w:val="00C67F34"/>
    <w:rsid w:val="00C67F67"/>
    <w:rsid w:val="00C70366"/>
    <w:rsid w:val="00C7040D"/>
    <w:rsid w:val="00C70B8C"/>
    <w:rsid w:val="00C70BB7"/>
    <w:rsid w:val="00C7128F"/>
    <w:rsid w:val="00C71327"/>
    <w:rsid w:val="00C71468"/>
    <w:rsid w:val="00C71FE1"/>
    <w:rsid w:val="00C723AF"/>
    <w:rsid w:val="00C723CA"/>
    <w:rsid w:val="00C72888"/>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4D0B"/>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B92"/>
    <w:rsid w:val="00C85EFB"/>
    <w:rsid w:val="00C85F12"/>
    <w:rsid w:val="00C86379"/>
    <w:rsid w:val="00C864DB"/>
    <w:rsid w:val="00C864FF"/>
    <w:rsid w:val="00C8669B"/>
    <w:rsid w:val="00C870BA"/>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16B"/>
    <w:rsid w:val="00C97572"/>
    <w:rsid w:val="00C97652"/>
    <w:rsid w:val="00C9785E"/>
    <w:rsid w:val="00C97AF1"/>
    <w:rsid w:val="00C97BC8"/>
    <w:rsid w:val="00C97D77"/>
    <w:rsid w:val="00CA03D9"/>
    <w:rsid w:val="00CA0732"/>
    <w:rsid w:val="00CA09AA"/>
    <w:rsid w:val="00CA0FCC"/>
    <w:rsid w:val="00CA114D"/>
    <w:rsid w:val="00CA1225"/>
    <w:rsid w:val="00CA1456"/>
    <w:rsid w:val="00CA1889"/>
    <w:rsid w:val="00CA18D2"/>
    <w:rsid w:val="00CA2093"/>
    <w:rsid w:val="00CA2480"/>
    <w:rsid w:val="00CA2549"/>
    <w:rsid w:val="00CA25D2"/>
    <w:rsid w:val="00CA2919"/>
    <w:rsid w:val="00CA2C56"/>
    <w:rsid w:val="00CA2EFC"/>
    <w:rsid w:val="00CA35D0"/>
    <w:rsid w:val="00CA3F80"/>
    <w:rsid w:val="00CA41D8"/>
    <w:rsid w:val="00CA4572"/>
    <w:rsid w:val="00CA4810"/>
    <w:rsid w:val="00CA49C0"/>
    <w:rsid w:val="00CA4A24"/>
    <w:rsid w:val="00CA4A3F"/>
    <w:rsid w:val="00CA4C14"/>
    <w:rsid w:val="00CA4F58"/>
    <w:rsid w:val="00CA51A0"/>
    <w:rsid w:val="00CA5DA3"/>
    <w:rsid w:val="00CA6156"/>
    <w:rsid w:val="00CA6164"/>
    <w:rsid w:val="00CA631B"/>
    <w:rsid w:val="00CA66B7"/>
    <w:rsid w:val="00CA6B73"/>
    <w:rsid w:val="00CA6BDF"/>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6343"/>
    <w:rsid w:val="00CB6517"/>
    <w:rsid w:val="00CB68EF"/>
    <w:rsid w:val="00CB6B89"/>
    <w:rsid w:val="00CB7005"/>
    <w:rsid w:val="00CB7648"/>
    <w:rsid w:val="00CB79A4"/>
    <w:rsid w:val="00CB7B6B"/>
    <w:rsid w:val="00CB7F5F"/>
    <w:rsid w:val="00CC00B7"/>
    <w:rsid w:val="00CC034B"/>
    <w:rsid w:val="00CC07BA"/>
    <w:rsid w:val="00CC07BE"/>
    <w:rsid w:val="00CC083F"/>
    <w:rsid w:val="00CC099A"/>
    <w:rsid w:val="00CC0AA7"/>
    <w:rsid w:val="00CC0E56"/>
    <w:rsid w:val="00CC10EB"/>
    <w:rsid w:val="00CC1555"/>
    <w:rsid w:val="00CC16E4"/>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365"/>
    <w:rsid w:val="00CC4402"/>
    <w:rsid w:val="00CC4600"/>
    <w:rsid w:val="00CC4C5E"/>
    <w:rsid w:val="00CC4CD7"/>
    <w:rsid w:val="00CC4EF6"/>
    <w:rsid w:val="00CC4F58"/>
    <w:rsid w:val="00CC57AE"/>
    <w:rsid w:val="00CC57F9"/>
    <w:rsid w:val="00CC5AAD"/>
    <w:rsid w:val="00CC5CDC"/>
    <w:rsid w:val="00CC5D24"/>
    <w:rsid w:val="00CC606C"/>
    <w:rsid w:val="00CC60ED"/>
    <w:rsid w:val="00CC620F"/>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ADA"/>
    <w:rsid w:val="00CD5C02"/>
    <w:rsid w:val="00CD5C92"/>
    <w:rsid w:val="00CD5F80"/>
    <w:rsid w:val="00CD61AC"/>
    <w:rsid w:val="00CD61C9"/>
    <w:rsid w:val="00CD61E3"/>
    <w:rsid w:val="00CD65E0"/>
    <w:rsid w:val="00CD6823"/>
    <w:rsid w:val="00CD6AD9"/>
    <w:rsid w:val="00CD6D63"/>
    <w:rsid w:val="00CD6E0B"/>
    <w:rsid w:val="00CD6E77"/>
    <w:rsid w:val="00CD6F34"/>
    <w:rsid w:val="00CD707E"/>
    <w:rsid w:val="00CD75C7"/>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1BE2"/>
    <w:rsid w:val="00CE1F05"/>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08"/>
    <w:rsid w:val="00CE61D5"/>
    <w:rsid w:val="00CE630B"/>
    <w:rsid w:val="00CE6869"/>
    <w:rsid w:val="00CE69F3"/>
    <w:rsid w:val="00CE6AD5"/>
    <w:rsid w:val="00CE6B53"/>
    <w:rsid w:val="00CE6E24"/>
    <w:rsid w:val="00CE71FA"/>
    <w:rsid w:val="00CE7392"/>
    <w:rsid w:val="00CE74DF"/>
    <w:rsid w:val="00CE76BD"/>
    <w:rsid w:val="00CE781A"/>
    <w:rsid w:val="00CF0131"/>
    <w:rsid w:val="00CF02AC"/>
    <w:rsid w:val="00CF0359"/>
    <w:rsid w:val="00CF057C"/>
    <w:rsid w:val="00CF06E6"/>
    <w:rsid w:val="00CF09E3"/>
    <w:rsid w:val="00CF0EFD"/>
    <w:rsid w:val="00CF18AB"/>
    <w:rsid w:val="00CF18CF"/>
    <w:rsid w:val="00CF1929"/>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3F7"/>
    <w:rsid w:val="00CF74F6"/>
    <w:rsid w:val="00CF76AE"/>
    <w:rsid w:val="00CF7CCF"/>
    <w:rsid w:val="00CF7D8D"/>
    <w:rsid w:val="00CF7DE7"/>
    <w:rsid w:val="00D0033A"/>
    <w:rsid w:val="00D00452"/>
    <w:rsid w:val="00D00522"/>
    <w:rsid w:val="00D007DA"/>
    <w:rsid w:val="00D00B22"/>
    <w:rsid w:val="00D00EFB"/>
    <w:rsid w:val="00D00FCA"/>
    <w:rsid w:val="00D01752"/>
    <w:rsid w:val="00D017EE"/>
    <w:rsid w:val="00D01C73"/>
    <w:rsid w:val="00D01DC5"/>
    <w:rsid w:val="00D02369"/>
    <w:rsid w:val="00D023BB"/>
    <w:rsid w:val="00D02683"/>
    <w:rsid w:val="00D02AFC"/>
    <w:rsid w:val="00D02C36"/>
    <w:rsid w:val="00D02E17"/>
    <w:rsid w:val="00D02F2F"/>
    <w:rsid w:val="00D0308E"/>
    <w:rsid w:val="00D0321D"/>
    <w:rsid w:val="00D03D1F"/>
    <w:rsid w:val="00D0403C"/>
    <w:rsid w:val="00D04A63"/>
    <w:rsid w:val="00D04FC8"/>
    <w:rsid w:val="00D04FEC"/>
    <w:rsid w:val="00D050BA"/>
    <w:rsid w:val="00D05152"/>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50B"/>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6897"/>
    <w:rsid w:val="00D170A2"/>
    <w:rsid w:val="00D17869"/>
    <w:rsid w:val="00D1792B"/>
    <w:rsid w:val="00D17B08"/>
    <w:rsid w:val="00D17CFD"/>
    <w:rsid w:val="00D17F37"/>
    <w:rsid w:val="00D202D3"/>
    <w:rsid w:val="00D20728"/>
    <w:rsid w:val="00D20948"/>
    <w:rsid w:val="00D20C87"/>
    <w:rsid w:val="00D212D3"/>
    <w:rsid w:val="00D2171B"/>
    <w:rsid w:val="00D217CE"/>
    <w:rsid w:val="00D21822"/>
    <w:rsid w:val="00D21A77"/>
    <w:rsid w:val="00D21E67"/>
    <w:rsid w:val="00D22148"/>
    <w:rsid w:val="00D22267"/>
    <w:rsid w:val="00D222EF"/>
    <w:rsid w:val="00D22406"/>
    <w:rsid w:val="00D229A3"/>
    <w:rsid w:val="00D22D40"/>
    <w:rsid w:val="00D22EC7"/>
    <w:rsid w:val="00D2348D"/>
    <w:rsid w:val="00D23556"/>
    <w:rsid w:val="00D2399F"/>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64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2AD"/>
    <w:rsid w:val="00D43888"/>
    <w:rsid w:val="00D4429F"/>
    <w:rsid w:val="00D445BC"/>
    <w:rsid w:val="00D445BE"/>
    <w:rsid w:val="00D44A5C"/>
    <w:rsid w:val="00D44B76"/>
    <w:rsid w:val="00D44EA0"/>
    <w:rsid w:val="00D4509C"/>
    <w:rsid w:val="00D45B68"/>
    <w:rsid w:val="00D45E20"/>
    <w:rsid w:val="00D461E7"/>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9A"/>
    <w:rsid w:val="00D52E1D"/>
    <w:rsid w:val="00D52EEC"/>
    <w:rsid w:val="00D53621"/>
    <w:rsid w:val="00D53768"/>
    <w:rsid w:val="00D537B0"/>
    <w:rsid w:val="00D5419B"/>
    <w:rsid w:val="00D54370"/>
    <w:rsid w:val="00D5438E"/>
    <w:rsid w:val="00D54C59"/>
    <w:rsid w:val="00D54CA0"/>
    <w:rsid w:val="00D54D88"/>
    <w:rsid w:val="00D5521C"/>
    <w:rsid w:val="00D554E6"/>
    <w:rsid w:val="00D5557F"/>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711"/>
    <w:rsid w:val="00D64736"/>
    <w:rsid w:val="00D647F9"/>
    <w:rsid w:val="00D6485C"/>
    <w:rsid w:val="00D64CB8"/>
    <w:rsid w:val="00D65404"/>
    <w:rsid w:val="00D6575A"/>
    <w:rsid w:val="00D65837"/>
    <w:rsid w:val="00D65DD6"/>
    <w:rsid w:val="00D65E25"/>
    <w:rsid w:val="00D66008"/>
    <w:rsid w:val="00D66022"/>
    <w:rsid w:val="00D66065"/>
    <w:rsid w:val="00D66231"/>
    <w:rsid w:val="00D6640A"/>
    <w:rsid w:val="00D66C66"/>
    <w:rsid w:val="00D66CE6"/>
    <w:rsid w:val="00D66CEF"/>
    <w:rsid w:val="00D66DAA"/>
    <w:rsid w:val="00D67050"/>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18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6A"/>
    <w:rsid w:val="00D80AB8"/>
    <w:rsid w:val="00D80ADF"/>
    <w:rsid w:val="00D80BE9"/>
    <w:rsid w:val="00D80C0D"/>
    <w:rsid w:val="00D80C33"/>
    <w:rsid w:val="00D80C93"/>
    <w:rsid w:val="00D80CCB"/>
    <w:rsid w:val="00D81307"/>
    <w:rsid w:val="00D81465"/>
    <w:rsid w:val="00D817FD"/>
    <w:rsid w:val="00D81F6B"/>
    <w:rsid w:val="00D820F3"/>
    <w:rsid w:val="00D82175"/>
    <w:rsid w:val="00D829AC"/>
    <w:rsid w:val="00D82AA1"/>
    <w:rsid w:val="00D83401"/>
    <w:rsid w:val="00D8357F"/>
    <w:rsid w:val="00D8373E"/>
    <w:rsid w:val="00D83850"/>
    <w:rsid w:val="00D83B01"/>
    <w:rsid w:val="00D8401F"/>
    <w:rsid w:val="00D84268"/>
    <w:rsid w:val="00D84278"/>
    <w:rsid w:val="00D846C5"/>
    <w:rsid w:val="00D847C6"/>
    <w:rsid w:val="00D85395"/>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93D"/>
    <w:rsid w:val="00D97D08"/>
    <w:rsid w:val="00D97E86"/>
    <w:rsid w:val="00DA000D"/>
    <w:rsid w:val="00DA015E"/>
    <w:rsid w:val="00DA0280"/>
    <w:rsid w:val="00DA02EC"/>
    <w:rsid w:val="00DA05CA"/>
    <w:rsid w:val="00DA0753"/>
    <w:rsid w:val="00DA0ABB"/>
    <w:rsid w:val="00DA0FC0"/>
    <w:rsid w:val="00DA10F6"/>
    <w:rsid w:val="00DA15D9"/>
    <w:rsid w:val="00DA16E9"/>
    <w:rsid w:val="00DA1D80"/>
    <w:rsid w:val="00DA2046"/>
    <w:rsid w:val="00DA2185"/>
    <w:rsid w:val="00DA23D2"/>
    <w:rsid w:val="00DA2934"/>
    <w:rsid w:val="00DA29C4"/>
    <w:rsid w:val="00DA29E2"/>
    <w:rsid w:val="00DA2D90"/>
    <w:rsid w:val="00DA30B6"/>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9FD"/>
    <w:rsid w:val="00DB0D5D"/>
    <w:rsid w:val="00DB0D7C"/>
    <w:rsid w:val="00DB118D"/>
    <w:rsid w:val="00DB1539"/>
    <w:rsid w:val="00DB1A73"/>
    <w:rsid w:val="00DB1F98"/>
    <w:rsid w:val="00DB2557"/>
    <w:rsid w:val="00DB266F"/>
    <w:rsid w:val="00DB27E1"/>
    <w:rsid w:val="00DB2C4F"/>
    <w:rsid w:val="00DB2CDC"/>
    <w:rsid w:val="00DB2CF9"/>
    <w:rsid w:val="00DB2F94"/>
    <w:rsid w:val="00DB2FDC"/>
    <w:rsid w:val="00DB322E"/>
    <w:rsid w:val="00DB3336"/>
    <w:rsid w:val="00DB35C7"/>
    <w:rsid w:val="00DB3719"/>
    <w:rsid w:val="00DB39DE"/>
    <w:rsid w:val="00DB3D0B"/>
    <w:rsid w:val="00DB3D52"/>
    <w:rsid w:val="00DB3F20"/>
    <w:rsid w:val="00DB40AD"/>
    <w:rsid w:val="00DB42C3"/>
    <w:rsid w:val="00DB4322"/>
    <w:rsid w:val="00DB452C"/>
    <w:rsid w:val="00DB4F9D"/>
    <w:rsid w:val="00DB5010"/>
    <w:rsid w:val="00DB54CE"/>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DBA"/>
    <w:rsid w:val="00DC5E7A"/>
    <w:rsid w:val="00DC6035"/>
    <w:rsid w:val="00DC6429"/>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801"/>
    <w:rsid w:val="00DD2942"/>
    <w:rsid w:val="00DD2DD7"/>
    <w:rsid w:val="00DD2FE5"/>
    <w:rsid w:val="00DD32DF"/>
    <w:rsid w:val="00DD3401"/>
    <w:rsid w:val="00DD3430"/>
    <w:rsid w:val="00DD3480"/>
    <w:rsid w:val="00DD3565"/>
    <w:rsid w:val="00DD3A46"/>
    <w:rsid w:val="00DD3B96"/>
    <w:rsid w:val="00DD3F49"/>
    <w:rsid w:val="00DD41A5"/>
    <w:rsid w:val="00DD48A4"/>
    <w:rsid w:val="00DD49D3"/>
    <w:rsid w:val="00DD50C9"/>
    <w:rsid w:val="00DD5401"/>
    <w:rsid w:val="00DD59AB"/>
    <w:rsid w:val="00DD5E0E"/>
    <w:rsid w:val="00DD5FFE"/>
    <w:rsid w:val="00DD6396"/>
    <w:rsid w:val="00DD6627"/>
    <w:rsid w:val="00DD6B32"/>
    <w:rsid w:val="00DD6C4B"/>
    <w:rsid w:val="00DD6C70"/>
    <w:rsid w:val="00DD6DA2"/>
    <w:rsid w:val="00DD6FCE"/>
    <w:rsid w:val="00DD761C"/>
    <w:rsid w:val="00DD76F5"/>
    <w:rsid w:val="00DD78FC"/>
    <w:rsid w:val="00DE0171"/>
    <w:rsid w:val="00DE0333"/>
    <w:rsid w:val="00DE0521"/>
    <w:rsid w:val="00DE0558"/>
    <w:rsid w:val="00DE067E"/>
    <w:rsid w:val="00DE088E"/>
    <w:rsid w:val="00DE10D2"/>
    <w:rsid w:val="00DE123B"/>
    <w:rsid w:val="00DE128B"/>
    <w:rsid w:val="00DE14DB"/>
    <w:rsid w:val="00DE15CE"/>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FDA"/>
    <w:rsid w:val="00DE61AA"/>
    <w:rsid w:val="00DE6DFA"/>
    <w:rsid w:val="00DE73DC"/>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3125"/>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CD3"/>
    <w:rsid w:val="00DF4D4C"/>
    <w:rsid w:val="00DF4DEA"/>
    <w:rsid w:val="00DF4E8F"/>
    <w:rsid w:val="00DF4F19"/>
    <w:rsid w:val="00DF5002"/>
    <w:rsid w:val="00DF5270"/>
    <w:rsid w:val="00DF5B4C"/>
    <w:rsid w:val="00DF5C89"/>
    <w:rsid w:val="00DF6014"/>
    <w:rsid w:val="00DF60F2"/>
    <w:rsid w:val="00DF624A"/>
    <w:rsid w:val="00DF6531"/>
    <w:rsid w:val="00DF658E"/>
    <w:rsid w:val="00DF6824"/>
    <w:rsid w:val="00DF69A9"/>
    <w:rsid w:val="00DF6A83"/>
    <w:rsid w:val="00DF6D26"/>
    <w:rsid w:val="00DF6E6B"/>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9EA"/>
    <w:rsid w:val="00E01A5C"/>
    <w:rsid w:val="00E01B10"/>
    <w:rsid w:val="00E01D06"/>
    <w:rsid w:val="00E02318"/>
    <w:rsid w:val="00E02630"/>
    <w:rsid w:val="00E028E6"/>
    <w:rsid w:val="00E02C20"/>
    <w:rsid w:val="00E02EB4"/>
    <w:rsid w:val="00E0324B"/>
    <w:rsid w:val="00E0345F"/>
    <w:rsid w:val="00E03B1D"/>
    <w:rsid w:val="00E03BEA"/>
    <w:rsid w:val="00E0401E"/>
    <w:rsid w:val="00E046C1"/>
    <w:rsid w:val="00E048DD"/>
    <w:rsid w:val="00E049EC"/>
    <w:rsid w:val="00E05795"/>
    <w:rsid w:val="00E0590D"/>
    <w:rsid w:val="00E05A43"/>
    <w:rsid w:val="00E05A94"/>
    <w:rsid w:val="00E05FC4"/>
    <w:rsid w:val="00E062EF"/>
    <w:rsid w:val="00E06649"/>
    <w:rsid w:val="00E06977"/>
    <w:rsid w:val="00E06A62"/>
    <w:rsid w:val="00E06AF4"/>
    <w:rsid w:val="00E06DE2"/>
    <w:rsid w:val="00E06F6A"/>
    <w:rsid w:val="00E073C8"/>
    <w:rsid w:val="00E07686"/>
    <w:rsid w:val="00E07A40"/>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F10"/>
    <w:rsid w:val="00E12FD2"/>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4A1"/>
    <w:rsid w:val="00E15AC5"/>
    <w:rsid w:val="00E15ED2"/>
    <w:rsid w:val="00E16251"/>
    <w:rsid w:val="00E164E8"/>
    <w:rsid w:val="00E1654E"/>
    <w:rsid w:val="00E16733"/>
    <w:rsid w:val="00E167D4"/>
    <w:rsid w:val="00E16881"/>
    <w:rsid w:val="00E168E5"/>
    <w:rsid w:val="00E16DA5"/>
    <w:rsid w:val="00E16E7F"/>
    <w:rsid w:val="00E170A7"/>
    <w:rsid w:val="00E172D5"/>
    <w:rsid w:val="00E175FF"/>
    <w:rsid w:val="00E17824"/>
    <w:rsid w:val="00E17C3F"/>
    <w:rsid w:val="00E17CFB"/>
    <w:rsid w:val="00E200EF"/>
    <w:rsid w:val="00E20171"/>
    <w:rsid w:val="00E201E3"/>
    <w:rsid w:val="00E20548"/>
    <w:rsid w:val="00E20661"/>
    <w:rsid w:val="00E20770"/>
    <w:rsid w:val="00E20855"/>
    <w:rsid w:val="00E20862"/>
    <w:rsid w:val="00E209A4"/>
    <w:rsid w:val="00E20AD1"/>
    <w:rsid w:val="00E20B6F"/>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642"/>
    <w:rsid w:val="00E368A4"/>
    <w:rsid w:val="00E36AED"/>
    <w:rsid w:val="00E36D75"/>
    <w:rsid w:val="00E3728F"/>
    <w:rsid w:val="00E377BF"/>
    <w:rsid w:val="00E37C25"/>
    <w:rsid w:val="00E40362"/>
    <w:rsid w:val="00E40476"/>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75C"/>
    <w:rsid w:val="00E45A9D"/>
    <w:rsid w:val="00E45AEA"/>
    <w:rsid w:val="00E460A1"/>
    <w:rsid w:val="00E46119"/>
    <w:rsid w:val="00E4697B"/>
    <w:rsid w:val="00E46CC9"/>
    <w:rsid w:val="00E4720B"/>
    <w:rsid w:val="00E47D5F"/>
    <w:rsid w:val="00E47D96"/>
    <w:rsid w:val="00E5018D"/>
    <w:rsid w:val="00E503BE"/>
    <w:rsid w:val="00E508D6"/>
    <w:rsid w:val="00E50DDF"/>
    <w:rsid w:val="00E515A3"/>
    <w:rsid w:val="00E51914"/>
    <w:rsid w:val="00E51C4D"/>
    <w:rsid w:val="00E51E23"/>
    <w:rsid w:val="00E52012"/>
    <w:rsid w:val="00E521FF"/>
    <w:rsid w:val="00E523F3"/>
    <w:rsid w:val="00E527BF"/>
    <w:rsid w:val="00E52824"/>
    <w:rsid w:val="00E52EF9"/>
    <w:rsid w:val="00E52F76"/>
    <w:rsid w:val="00E5315C"/>
    <w:rsid w:val="00E533F7"/>
    <w:rsid w:val="00E534EA"/>
    <w:rsid w:val="00E5350D"/>
    <w:rsid w:val="00E538E0"/>
    <w:rsid w:val="00E5423F"/>
    <w:rsid w:val="00E547DF"/>
    <w:rsid w:val="00E54D33"/>
    <w:rsid w:val="00E55133"/>
    <w:rsid w:val="00E553B6"/>
    <w:rsid w:val="00E55809"/>
    <w:rsid w:val="00E55D6F"/>
    <w:rsid w:val="00E55F56"/>
    <w:rsid w:val="00E55FE2"/>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382"/>
    <w:rsid w:val="00E67631"/>
    <w:rsid w:val="00E67B23"/>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E6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86C"/>
    <w:rsid w:val="00E959A9"/>
    <w:rsid w:val="00E959DD"/>
    <w:rsid w:val="00E95A33"/>
    <w:rsid w:val="00E95A9A"/>
    <w:rsid w:val="00E95F20"/>
    <w:rsid w:val="00E9627E"/>
    <w:rsid w:val="00E96987"/>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41D"/>
    <w:rsid w:val="00EA1B4A"/>
    <w:rsid w:val="00EA1CC1"/>
    <w:rsid w:val="00EA1D3C"/>
    <w:rsid w:val="00EA2271"/>
    <w:rsid w:val="00EA2585"/>
    <w:rsid w:val="00EA2598"/>
    <w:rsid w:val="00EA25E5"/>
    <w:rsid w:val="00EA266C"/>
    <w:rsid w:val="00EA2730"/>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734"/>
    <w:rsid w:val="00EC4981"/>
    <w:rsid w:val="00EC4D77"/>
    <w:rsid w:val="00EC4D7B"/>
    <w:rsid w:val="00EC4E2E"/>
    <w:rsid w:val="00EC555C"/>
    <w:rsid w:val="00EC60A1"/>
    <w:rsid w:val="00EC614D"/>
    <w:rsid w:val="00EC6337"/>
    <w:rsid w:val="00EC66AC"/>
    <w:rsid w:val="00EC68D1"/>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2B8"/>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235"/>
    <w:rsid w:val="00EE24B7"/>
    <w:rsid w:val="00EE286B"/>
    <w:rsid w:val="00EE2AAB"/>
    <w:rsid w:val="00EE2B13"/>
    <w:rsid w:val="00EE2DE2"/>
    <w:rsid w:val="00EE3162"/>
    <w:rsid w:val="00EE3196"/>
    <w:rsid w:val="00EE3203"/>
    <w:rsid w:val="00EE3318"/>
    <w:rsid w:val="00EE33A6"/>
    <w:rsid w:val="00EE3615"/>
    <w:rsid w:val="00EE3DCB"/>
    <w:rsid w:val="00EE417D"/>
    <w:rsid w:val="00EE4825"/>
    <w:rsid w:val="00EE4FE5"/>
    <w:rsid w:val="00EE5112"/>
    <w:rsid w:val="00EE539F"/>
    <w:rsid w:val="00EE54FD"/>
    <w:rsid w:val="00EE5617"/>
    <w:rsid w:val="00EE62B4"/>
    <w:rsid w:val="00EE636D"/>
    <w:rsid w:val="00EE66B1"/>
    <w:rsid w:val="00EE6964"/>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C79"/>
    <w:rsid w:val="00EF4D41"/>
    <w:rsid w:val="00EF4F32"/>
    <w:rsid w:val="00EF5326"/>
    <w:rsid w:val="00EF57F7"/>
    <w:rsid w:val="00EF5861"/>
    <w:rsid w:val="00EF5DAF"/>
    <w:rsid w:val="00EF61C2"/>
    <w:rsid w:val="00EF62A3"/>
    <w:rsid w:val="00EF6569"/>
    <w:rsid w:val="00EF6C90"/>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3F4"/>
    <w:rsid w:val="00F0372A"/>
    <w:rsid w:val="00F037EF"/>
    <w:rsid w:val="00F0388F"/>
    <w:rsid w:val="00F03891"/>
    <w:rsid w:val="00F0392B"/>
    <w:rsid w:val="00F046FD"/>
    <w:rsid w:val="00F0497A"/>
    <w:rsid w:val="00F04D51"/>
    <w:rsid w:val="00F05724"/>
    <w:rsid w:val="00F05EED"/>
    <w:rsid w:val="00F0644A"/>
    <w:rsid w:val="00F06EDD"/>
    <w:rsid w:val="00F06F02"/>
    <w:rsid w:val="00F07981"/>
    <w:rsid w:val="00F07A95"/>
    <w:rsid w:val="00F101FA"/>
    <w:rsid w:val="00F10437"/>
    <w:rsid w:val="00F10465"/>
    <w:rsid w:val="00F10864"/>
    <w:rsid w:val="00F1088D"/>
    <w:rsid w:val="00F108E6"/>
    <w:rsid w:val="00F10E93"/>
    <w:rsid w:val="00F11475"/>
    <w:rsid w:val="00F1158D"/>
    <w:rsid w:val="00F1165E"/>
    <w:rsid w:val="00F11CF5"/>
    <w:rsid w:val="00F128D1"/>
    <w:rsid w:val="00F12B3D"/>
    <w:rsid w:val="00F12F2E"/>
    <w:rsid w:val="00F131B6"/>
    <w:rsid w:val="00F13242"/>
    <w:rsid w:val="00F132C2"/>
    <w:rsid w:val="00F13423"/>
    <w:rsid w:val="00F1355A"/>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DEA"/>
    <w:rsid w:val="00F32F0E"/>
    <w:rsid w:val="00F32F3E"/>
    <w:rsid w:val="00F3333E"/>
    <w:rsid w:val="00F335C9"/>
    <w:rsid w:val="00F3383E"/>
    <w:rsid w:val="00F34286"/>
    <w:rsid w:val="00F342E5"/>
    <w:rsid w:val="00F3451B"/>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C5E"/>
    <w:rsid w:val="00F41D1F"/>
    <w:rsid w:val="00F42910"/>
    <w:rsid w:val="00F42C2B"/>
    <w:rsid w:val="00F435BA"/>
    <w:rsid w:val="00F441F0"/>
    <w:rsid w:val="00F442A4"/>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50020"/>
    <w:rsid w:val="00F50671"/>
    <w:rsid w:val="00F50849"/>
    <w:rsid w:val="00F50F34"/>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16C"/>
    <w:rsid w:val="00F553D1"/>
    <w:rsid w:val="00F555CA"/>
    <w:rsid w:val="00F556CD"/>
    <w:rsid w:val="00F558E3"/>
    <w:rsid w:val="00F5598D"/>
    <w:rsid w:val="00F55AC5"/>
    <w:rsid w:val="00F55D5B"/>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BC"/>
    <w:rsid w:val="00F66AF7"/>
    <w:rsid w:val="00F66BFB"/>
    <w:rsid w:val="00F66D3D"/>
    <w:rsid w:val="00F67011"/>
    <w:rsid w:val="00F672EB"/>
    <w:rsid w:val="00F6753C"/>
    <w:rsid w:val="00F6756A"/>
    <w:rsid w:val="00F6762E"/>
    <w:rsid w:val="00F67906"/>
    <w:rsid w:val="00F67A85"/>
    <w:rsid w:val="00F67D0D"/>
    <w:rsid w:val="00F709D0"/>
    <w:rsid w:val="00F71026"/>
    <w:rsid w:val="00F71042"/>
    <w:rsid w:val="00F710A0"/>
    <w:rsid w:val="00F710D9"/>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85D"/>
    <w:rsid w:val="00F73F43"/>
    <w:rsid w:val="00F74357"/>
    <w:rsid w:val="00F74664"/>
    <w:rsid w:val="00F74791"/>
    <w:rsid w:val="00F747FD"/>
    <w:rsid w:val="00F748C9"/>
    <w:rsid w:val="00F74A7A"/>
    <w:rsid w:val="00F74BD4"/>
    <w:rsid w:val="00F75C0B"/>
    <w:rsid w:val="00F75EE9"/>
    <w:rsid w:val="00F763DF"/>
    <w:rsid w:val="00F76C92"/>
    <w:rsid w:val="00F77028"/>
    <w:rsid w:val="00F770B8"/>
    <w:rsid w:val="00F77795"/>
    <w:rsid w:val="00F7792A"/>
    <w:rsid w:val="00F77AF5"/>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DD6"/>
    <w:rsid w:val="00F81E0E"/>
    <w:rsid w:val="00F81F25"/>
    <w:rsid w:val="00F8212A"/>
    <w:rsid w:val="00F82272"/>
    <w:rsid w:val="00F82402"/>
    <w:rsid w:val="00F8258C"/>
    <w:rsid w:val="00F825FF"/>
    <w:rsid w:val="00F82760"/>
    <w:rsid w:val="00F82A7D"/>
    <w:rsid w:val="00F82D8E"/>
    <w:rsid w:val="00F832C3"/>
    <w:rsid w:val="00F832DB"/>
    <w:rsid w:val="00F83301"/>
    <w:rsid w:val="00F837DD"/>
    <w:rsid w:val="00F83A07"/>
    <w:rsid w:val="00F83BC2"/>
    <w:rsid w:val="00F83F9D"/>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75D"/>
    <w:rsid w:val="00F91906"/>
    <w:rsid w:val="00F91932"/>
    <w:rsid w:val="00F91CA2"/>
    <w:rsid w:val="00F91DAC"/>
    <w:rsid w:val="00F91E5C"/>
    <w:rsid w:val="00F92174"/>
    <w:rsid w:val="00F923DB"/>
    <w:rsid w:val="00F92503"/>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4131"/>
    <w:rsid w:val="00FA4790"/>
    <w:rsid w:val="00FA4B6F"/>
    <w:rsid w:val="00FA4EDE"/>
    <w:rsid w:val="00FA50E8"/>
    <w:rsid w:val="00FA51EF"/>
    <w:rsid w:val="00FA526F"/>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6B67"/>
    <w:rsid w:val="00FA6BB1"/>
    <w:rsid w:val="00FA7164"/>
    <w:rsid w:val="00FA7A20"/>
    <w:rsid w:val="00FA7AA6"/>
    <w:rsid w:val="00FA7C04"/>
    <w:rsid w:val="00FB0026"/>
    <w:rsid w:val="00FB0443"/>
    <w:rsid w:val="00FB0540"/>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5E"/>
    <w:rsid w:val="00FB3E78"/>
    <w:rsid w:val="00FB4065"/>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3EA"/>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352"/>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147"/>
    <w:rsid w:val="00FD15AB"/>
    <w:rsid w:val="00FD1926"/>
    <w:rsid w:val="00FD1ADF"/>
    <w:rsid w:val="00FD235B"/>
    <w:rsid w:val="00FD2804"/>
    <w:rsid w:val="00FD282A"/>
    <w:rsid w:val="00FD29F4"/>
    <w:rsid w:val="00FD2A71"/>
    <w:rsid w:val="00FD2D72"/>
    <w:rsid w:val="00FD3124"/>
    <w:rsid w:val="00FD3905"/>
    <w:rsid w:val="00FD3F13"/>
    <w:rsid w:val="00FD42F6"/>
    <w:rsid w:val="00FD44ED"/>
    <w:rsid w:val="00FD4CC0"/>
    <w:rsid w:val="00FD55E1"/>
    <w:rsid w:val="00FD5999"/>
    <w:rsid w:val="00FD6318"/>
    <w:rsid w:val="00FD66D0"/>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2CF"/>
    <w:rsid w:val="00FF27BE"/>
    <w:rsid w:val="00FF2A88"/>
    <w:rsid w:val="00FF2A9C"/>
    <w:rsid w:val="00FF317F"/>
    <w:rsid w:val="00FF36EC"/>
    <w:rsid w:val="00FF37C5"/>
    <w:rsid w:val="00FF3A12"/>
    <w:rsid w:val="00FF3CFC"/>
    <w:rsid w:val="00FF43AF"/>
    <w:rsid w:val="00FF48E0"/>
    <w:rsid w:val="00FF5026"/>
    <w:rsid w:val="00FF507B"/>
    <w:rsid w:val="00FF5173"/>
    <w:rsid w:val="00FF51D0"/>
    <w:rsid w:val="00FF52CC"/>
    <w:rsid w:val="00FF52E3"/>
    <w:rsid w:val="00FF5A17"/>
    <w:rsid w:val="00FF5D1A"/>
    <w:rsid w:val="00FF609A"/>
    <w:rsid w:val="00FF6ACC"/>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3A6F"/>
    <w:pPr>
      <w:overflowPunct w:val="0"/>
      <w:autoSpaceDE w:val="0"/>
      <w:autoSpaceDN w:val="0"/>
      <w:adjustRightInd w:val="0"/>
      <w:spacing w:after="180"/>
      <w:textAlignment w:val="baseline"/>
    </w:pPr>
  </w:style>
  <w:style w:type="paragraph" w:styleId="1">
    <w:name w:val="heading 1"/>
    <w:aliases w:val="H1,h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uiPriority w:val="9"/>
    <w:qFormat/>
    <w:rsid w:val="00A63872"/>
    <w:pPr>
      <w:pBdr>
        <w:top w:val="none" w:sz="0" w:space="0" w:color="auto"/>
      </w:pBdr>
      <w:spacing w:before="180"/>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3"/>
      </w:numPr>
      <w:outlineLvl w:val="5"/>
    </w:pPr>
  </w:style>
  <w:style w:type="paragraph" w:styleId="7">
    <w:name w:val="heading 7"/>
    <w:basedOn w:val="H6"/>
    <w:next w:val="a"/>
    <w:link w:val="7Char"/>
    <w:qFormat/>
    <w:rsid w:val="00A63872"/>
    <w:pPr>
      <w:numPr>
        <w:ilvl w:val="6"/>
        <w:numId w:val="3"/>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rPr>
  </w:style>
  <w:style w:type="paragraph" w:customStyle="1" w:styleId="Equation">
    <w:name w:val="Equation"/>
    <w:basedOn w:val="a"/>
    <w:next w:val="a"/>
    <w:pPr>
      <w:tabs>
        <w:tab w:val="right" w:pos="10206"/>
      </w:tabs>
      <w:spacing w:after="220"/>
      <w:ind w:left="1298"/>
    </w:pPr>
    <w:rPr>
      <w:rFonts w:ascii="Arial" w:hAnsi="Arial"/>
      <w:sz w:val="22"/>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uiPriority w:val="9"/>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ê¥¹¥È¶ÎÂä,ÁÐ³ö¶ÎÂä"/>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qFormat/>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eastAsia="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maintext">
    <w:name w:val="main text"/>
    <w:basedOn w:val="a"/>
    <w:link w:val="maintextChar"/>
    <w:qFormat/>
    <w:rsid w:val="00FD15AB"/>
    <w:pPr>
      <w:overflowPunct/>
      <w:autoSpaceDE/>
      <w:autoSpaceDN/>
      <w:adjustRightInd/>
      <w:spacing w:before="60" w:after="60" w:line="288" w:lineRule="auto"/>
      <w:ind w:firstLineChars="200" w:firstLine="200"/>
      <w:jc w:val="both"/>
      <w:textAlignment w:val="auto"/>
    </w:pPr>
    <w:rPr>
      <w:rFonts w:cs="바탕"/>
      <w:sz w:val="22"/>
      <w:lang w:val="en-GB" w:eastAsia="ko-KR"/>
    </w:rPr>
  </w:style>
  <w:style w:type="character" w:customStyle="1" w:styleId="maintextChar">
    <w:name w:val="main text Char"/>
    <w:link w:val="maintext"/>
    <w:qFormat/>
    <w:rsid w:val="00FD15AB"/>
    <w:rPr>
      <w:rFonts w:cs="바탕"/>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132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4764981">
      <w:bodyDiv w:val="1"/>
      <w:marLeft w:val="0"/>
      <w:marRight w:val="0"/>
      <w:marTop w:val="0"/>
      <w:marBottom w:val="0"/>
      <w:divBdr>
        <w:top w:val="none" w:sz="0" w:space="0" w:color="auto"/>
        <w:left w:val="none" w:sz="0" w:space="0" w:color="auto"/>
        <w:bottom w:val="none" w:sz="0" w:space="0" w:color="auto"/>
        <w:right w:val="none" w:sz="0" w:space="0" w:color="auto"/>
      </w:divBdr>
      <w:divsChild>
        <w:div w:id="1263343908">
          <w:marLeft w:val="0"/>
          <w:marRight w:val="0"/>
          <w:marTop w:val="0"/>
          <w:marBottom w:val="0"/>
          <w:divBdr>
            <w:top w:val="none" w:sz="0" w:space="0" w:color="auto"/>
            <w:left w:val="none" w:sz="0" w:space="0" w:color="auto"/>
            <w:bottom w:val="none" w:sz="0" w:space="0" w:color="auto"/>
            <w:right w:val="none" w:sz="0" w:space="0" w:color="auto"/>
          </w:divBdr>
          <w:divsChild>
            <w:div w:id="2122645616">
              <w:marLeft w:val="0"/>
              <w:marRight w:val="0"/>
              <w:marTop w:val="0"/>
              <w:marBottom w:val="0"/>
              <w:divBdr>
                <w:top w:val="none" w:sz="0" w:space="0" w:color="auto"/>
                <w:left w:val="none" w:sz="0" w:space="0" w:color="auto"/>
                <w:bottom w:val="none" w:sz="0" w:space="0" w:color="auto"/>
                <w:right w:val="none" w:sz="0" w:space="0" w:color="auto"/>
              </w:divBdr>
              <w:divsChild>
                <w:div w:id="754127603">
                  <w:marLeft w:val="0"/>
                  <w:marRight w:val="0"/>
                  <w:marTop w:val="0"/>
                  <w:marBottom w:val="0"/>
                  <w:divBdr>
                    <w:top w:val="none" w:sz="0" w:space="0" w:color="auto"/>
                    <w:left w:val="none" w:sz="0" w:space="0" w:color="auto"/>
                    <w:bottom w:val="none" w:sz="0" w:space="0" w:color="auto"/>
                    <w:right w:val="none" w:sz="0" w:space="0" w:color="auto"/>
                  </w:divBdr>
                  <w:divsChild>
                    <w:div w:id="1013459458">
                      <w:marLeft w:val="0"/>
                      <w:marRight w:val="0"/>
                      <w:marTop w:val="0"/>
                      <w:marBottom w:val="0"/>
                      <w:divBdr>
                        <w:top w:val="none" w:sz="0" w:space="0" w:color="auto"/>
                        <w:left w:val="none" w:sz="0" w:space="0" w:color="auto"/>
                        <w:bottom w:val="none" w:sz="0" w:space="0" w:color="auto"/>
                        <w:right w:val="none" w:sz="0" w:space="0" w:color="auto"/>
                      </w:divBdr>
                      <w:divsChild>
                        <w:div w:id="552928181">
                          <w:marLeft w:val="0"/>
                          <w:marRight w:val="0"/>
                          <w:marTop w:val="0"/>
                          <w:marBottom w:val="0"/>
                          <w:divBdr>
                            <w:top w:val="none" w:sz="0" w:space="0" w:color="auto"/>
                            <w:left w:val="none" w:sz="0" w:space="0" w:color="auto"/>
                            <w:bottom w:val="none" w:sz="0" w:space="0" w:color="auto"/>
                            <w:right w:val="none" w:sz="0" w:space="0" w:color="auto"/>
                          </w:divBdr>
                          <w:divsChild>
                            <w:div w:id="38911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631085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5213950">
      <w:bodyDiv w:val="1"/>
      <w:marLeft w:val="0"/>
      <w:marRight w:val="0"/>
      <w:marTop w:val="0"/>
      <w:marBottom w:val="0"/>
      <w:divBdr>
        <w:top w:val="none" w:sz="0" w:space="0" w:color="auto"/>
        <w:left w:val="none" w:sz="0" w:space="0" w:color="auto"/>
        <w:bottom w:val="none" w:sz="0" w:space="0" w:color="auto"/>
        <w:right w:val="none" w:sz="0" w:space="0" w:color="auto"/>
      </w:divBdr>
    </w:div>
    <w:div w:id="2354080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7177624">
      <w:bodyDiv w:val="1"/>
      <w:marLeft w:val="0"/>
      <w:marRight w:val="0"/>
      <w:marTop w:val="0"/>
      <w:marBottom w:val="0"/>
      <w:divBdr>
        <w:top w:val="none" w:sz="0" w:space="0" w:color="auto"/>
        <w:left w:val="none" w:sz="0" w:space="0" w:color="auto"/>
        <w:bottom w:val="none" w:sz="0" w:space="0" w:color="auto"/>
        <w:right w:val="none" w:sz="0" w:space="0" w:color="auto"/>
      </w:divBdr>
      <w:divsChild>
        <w:div w:id="446240422">
          <w:marLeft w:val="533"/>
          <w:marRight w:val="0"/>
          <w:marTop w:val="5"/>
          <w:marBottom w:val="0"/>
          <w:divBdr>
            <w:top w:val="none" w:sz="0" w:space="0" w:color="auto"/>
            <w:left w:val="none" w:sz="0" w:space="0" w:color="auto"/>
            <w:bottom w:val="none" w:sz="0" w:space="0" w:color="auto"/>
            <w:right w:val="none" w:sz="0" w:space="0" w:color="auto"/>
          </w:divBdr>
        </w:div>
        <w:div w:id="1153637709">
          <w:marLeft w:val="1166"/>
          <w:marRight w:val="0"/>
          <w:marTop w:val="5"/>
          <w:marBottom w:val="0"/>
          <w:divBdr>
            <w:top w:val="none" w:sz="0" w:space="0" w:color="auto"/>
            <w:left w:val="none" w:sz="0" w:space="0" w:color="auto"/>
            <w:bottom w:val="none" w:sz="0" w:space="0" w:color="auto"/>
            <w:right w:val="none" w:sz="0" w:space="0" w:color="auto"/>
          </w:divBdr>
        </w:div>
      </w:divsChild>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414895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013092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032042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732594">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9923245">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1854019">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2896729">
      <w:bodyDiv w:val="1"/>
      <w:marLeft w:val="0"/>
      <w:marRight w:val="0"/>
      <w:marTop w:val="0"/>
      <w:marBottom w:val="0"/>
      <w:divBdr>
        <w:top w:val="none" w:sz="0" w:space="0" w:color="auto"/>
        <w:left w:val="none" w:sz="0" w:space="0" w:color="auto"/>
        <w:bottom w:val="none" w:sz="0" w:space="0" w:color="auto"/>
        <w:right w:val="none" w:sz="0" w:space="0" w:color="auto"/>
      </w:divBdr>
      <w:divsChild>
        <w:div w:id="1423835992">
          <w:marLeft w:val="533"/>
          <w:marRight w:val="0"/>
          <w:marTop w:val="5"/>
          <w:marBottom w:val="0"/>
          <w:divBdr>
            <w:top w:val="none" w:sz="0" w:space="0" w:color="auto"/>
            <w:left w:val="none" w:sz="0" w:space="0" w:color="auto"/>
            <w:bottom w:val="none" w:sz="0" w:space="0" w:color="auto"/>
            <w:right w:val="none" w:sz="0" w:space="0" w:color="auto"/>
          </w:divBdr>
        </w:div>
        <w:div w:id="49042388">
          <w:marLeft w:val="533"/>
          <w:marRight w:val="0"/>
          <w:marTop w:val="5"/>
          <w:marBottom w:val="0"/>
          <w:divBdr>
            <w:top w:val="none" w:sz="0" w:space="0" w:color="auto"/>
            <w:left w:val="none" w:sz="0" w:space="0" w:color="auto"/>
            <w:bottom w:val="none" w:sz="0" w:space="0" w:color="auto"/>
            <w:right w:val="none" w:sz="0" w:space="0" w:color="auto"/>
          </w:divBdr>
        </w:div>
        <w:div w:id="417873251">
          <w:marLeft w:val="1166"/>
          <w:marRight w:val="0"/>
          <w:marTop w:val="5"/>
          <w:marBottom w:val="0"/>
          <w:divBdr>
            <w:top w:val="none" w:sz="0" w:space="0" w:color="auto"/>
            <w:left w:val="none" w:sz="0" w:space="0" w:color="auto"/>
            <w:bottom w:val="none" w:sz="0" w:space="0" w:color="auto"/>
            <w:right w:val="none" w:sz="0" w:space="0" w:color="auto"/>
          </w:divBdr>
        </w:div>
        <w:div w:id="509415383">
          <w:marLeft w:val="533"/>
          <w:marRight w:val="0"/>
          <w:marTop w:val="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79776">
      <w:bodyDiv w:val="1"/>
      <w:marLeft w:val="0"/>
      <w:marRight w:val="0"/>
      <w:marTop w:val="0"/>
      <w:marBottom w:val="0"/>
      <w:divBdr>
        <w:top w:val="none" w:sz="0" w:space="0" w:color="auto"/>
        <w:left w:val="none" w:sz="0" w:space="0" w:color="auto"/>
        <w:bottom w:val="none" w:sz="0" w:space="0" w:color="auto"/>
        <w:right w:val="none" w:sz="0" w:space="0" w:color="auto"/>
      </w:divBdr>
      <w:divsChild>
        <w:div w:id="1631665738">
          <w:marLeft w:val="533"/>
          <w:marRight w:val="0"/>
          <w:marTop w:val="5"/>
          <w:marBottom w:val="0"/>
          <w:divBdr>
            <w:top w:val="none" w:sz="0" w:space="0" w:color="auto"/>
            <w:left w:val="none" w:sz="0" w:space="0" w:color="auto"/>
            <w:bottom w:val="none" w:sz="0" w:space="0" w:color="auto"/>
            <w:right w:val="none" w:sz="0" w:space="0" w:color="auto"/>
          </w:divBdr>
        </w:div>
        <w:div w:id="1374505641">
          <w:marLeft w:val="1166"/>
          <w:marRight w:val="0"/>
          <w:marTop w:val="5"/>
          <w:marBottom w:val="0"/>
          <w:divBdr>
            <w:top w:val="none" w:sz="0" w:space="0" w:color="auto"/>
            <w:left w:val="none" w:sz="0" w:space="0" w:color="auto"/>
            <w:bottom w:val="none" w:sz="0" w:space="0" w:color="auto"/>
            <w:right w:val="none" w:sz="0" w:space="0" w:color="auto"/>
          </w:divBdr>
        </w:div>
        <w:div w:id="1822191218">
          <w:marLeft w:val="533"/>
          <w:marRight w:val="0"/>
          <w:marTop w:val="5"/>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86073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595598">
      <w:bodyDiv w:val="1"/>
      <w:marLeft w:val="0"/>
      <w:marRight w:val="0"/>
      <w:marTop w:val="0"/>
      <w:marBottom w:val="0"/>
      <w:divBdr>
        <w:top w:val="none" w:sz="0" w:space="0" w:color="auto"/>
        <w:left w:val="none" w:sz="0" w:space="0" w:color="auto"/>
        <w:bottom w:val="none" w:sz="0" w:space="0" w:color="auto"/>
        <w:right w:val="none" w:sz="0" w:space="0" w:color="auto"/>
      </w:divBdr>
    </w:div>
    <w:div w:id="114408006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303818">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1838236">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589853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32197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01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9479793">
      <w:bodyDiv w:val="1"/>
      <w:marLeft w:val="0"/>
      <w:marRight w:val="0"/>
      <w:marTop w:val="0"/>
      <w:marBottom w:val="0"/>
      <w:divBdr>
        <w:top w:val="none" w:sz="0" w:space="0" w:color="auto"/>
        <w:left w:val="none" w:sz="0" w:space="0" w:color="auto"/>
        <w:bottom w:val="none" w:sz="0" w:space="0" w:color="auto"/>
        <w:right w:val="none" w:sz="0" w:space="0" w:color="auto"/>
      </w:divBdr>
    </w:div>
    <w:div w:id="1601140731">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04205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4832359">
      <w:bodyDiv w:val="1"/>
      <w:marLeft w:val="0"/>
      <w:marRight w:val="0"/>
      <w:marTop w:val="0"/>
      <w:marBottom w:val="0"/>
      <w:divBdr>
        <w:top w:val="none" w:sz="0" w:space="0" w:color="auto"/>
        <w:left w:val="none" w:sz="0" w:space="0" w:color="auto"/>
        <w:bottom w:val="none" w:sz="0" w:space="0" w:color="auto"/>
        <w:right w:val="none" w:sz="0" w:space="0" w:color="auto"/>
      </w:divBdr>
    </w:div>
    <w:div w:id="1776484735">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6278767">
      <w:bodyDiv w:val="1"/>
      <w:marLeft w:val="0"/>
      <w:marRight w:val="0"/>
      <w:marTop w:val="0"/>
      <w:marBottom w:val="0"/>
      <w:divBdr>
        <w:top w:val="none" w:sz="0" w:space="0" w:color="auto"/>
        <w:left w:val="none" w:sz="0" w:space="0" w:color="auto"/>
        <w:bottom w:val="none" w:sz="0" w:space="0" w:color="auto"/>
        <w:right w:val="none" w:sz="0" w:space="0" w:color="auto"/>
      </w:divBdr>
      <w:divsChild>
        <w:div w:id="1101798095">
          <w:marLeft w:val="533"/>
          <w:marRight w:val="0"/>
          <w:marTop w:val="5"/>
          <w:marBottom w:val="0"/>
          <w:divBdr>
            <w:top w:val="none" w:sz="0" w:space="0" w:color="auto"/>
            <w:left w:val="none" w:sz="0" w:space="0" w:color="auto"/>
            <w:bottom w:val="none" w:sz="0" w:space="0" w:color="auto"/>
            <w:right w:val="none" w:sz="0" w:space="0" w:color="auto"/>
          </w:divBdr>
        </w:div>
        <w:div w:id="879828199">
          <w:marLeft w:val="533"/>
          <w:marRight w:val="0"/>
          <w:marTop w:val="5"/>
          <w:marBottom w:val="0"/>
          <w:divBdr>
            <w:top w:val="none" w:sz="0" w:space="0" w:color="auto"/>
            <w:left w:val="none" w:sz="0" w:space="0" w:color="auto"/>
            <w:bottom w:val="none" w:sz="0" w:space="0" w:color="auto"/>
            <w:right w:val="none" w:sz="0" w:space="0" w:color="auto"/>
          </w:divBdr>
        </w:div>
        <w:div w:id="690422347">
          <w:marLeft w:val="533"/>
          <w:marRight w:val="0"/>
          <w:marTop w:val="5"/>
          <w:marBottom w:val="0"/>
          <w:divBdr>
            <w:top w:val="none" w:sz="0" w:space="0" w:color="auto"/>
            <w:left w:val="none" w:sz="0" w:space="0" w:color="auto"/>
            <w:bottom w:val="none" w:sz="0" w:space="0" w:color="auto"/>
            <w:right w:val="none" w:sz="0" w:space="0" w:color="auto"/>
          </w:divBdr>
        </w:div>
        <w:div w:id="238248503">
          <w:marLeft w:val="533"/>
          <w:marRight w:val="0"/>
          <w:marTop w:val="5"/>
          <w:marBottom w:val="0"/>
          <w:divBdr>
            <w:top w:val="none" w:sz="0" w:space="0" w:color="auto"/>
            <w:left w:val="none" w:sz="0" w:space="0" w:color="auto"/>
            <w:bottom w:val="none" w:sz="0" w:space="0" w:color="auto"/>
            <w:right w:val="none" w:sz="0" w:space="0" w:color="auto"/>
          </w:divBdr>
        </w:div>
        <w:div w:id="1199010851">
          <w:marLeft w:val="533"/>
          <w:marRight w:val="0"/>
          <w:marTop w:val="5"/>
          <w:marBottom w:val="0"/>
          <w:divBdr>
            <w:top w:val="none" w:sz="0" w:space="0" w:color="auto"/>
            <w:left w:val="none" w:sz="0" w:space="0" w:color="auto"/>
            <w:bottom w:val="none" w:sz="0" w:space="0" w:color="auto"/>
            <w:right w:val="none" w:sz="0" w:space="0" w:color="auto"/>
          </w:divBdr>
        </w:div>
        <w:div w:id="1400513672">
          <w:marLeft w:val="533"/>
          <w:marRight w:val="0"/>
          <w:marTop w:val="5"/>
          <w:marBottom w:val="0"/>
          <w:divBdr>
            <w:top w:val="none" w:sz="0" w:space="0" w:color="auto"/>
            <w:left w:val="none" w:sz="0" w:space="0" w:color="auto"/>
            <w:bottom w:val="none" w:sz="0" w:space="0" w:color="auto"/>
            <w:right w:val="none" w:sz="0" w:space="0" w:color="auto"/>
          </w:divBdr>
        </w:div>
      </w:divsChild>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26978294">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50170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77589-ADF7-44B9-9EB2-7E4746467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TotalTime>
  <Pages>6</Pages>
  <Words>2038</Words>
  <Characters>11620</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13631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KJH</cp:lastModifiedBy>
  <cp:revision>80</cp:revision>
  <cp:lastPrinted>2023-08-09T11:37:00Z</cp:lastPrinted>
  <dcterms:created xsi:type="dcterms:W3CDTF">2023-08-11T02:32:00Z</dcterms:created>
  <dcterms:modified xsi:type="dcterms:W3CDTF">2025-05-09T05:24:00Z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